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0" w:rsidRPr="005821CE" w:rsidRDefault="00B402A0" w:rsidP="00EF1450">
      <w:pPr>
        <w:autoSpaceDE w:val="0"/>
        <w:autoSpaceDN w:val="0"/>
        <w:adjustRightInd w:val="0"/>
        <w:spacing w:before="40"/>
        <w:jc w:val="both"/>
        <w:rPr>
          <w:rFonts w:ascii="Garamond" w:hAnsi="Garamond" w:cs="Arial"/>
          <w:bCs/>
          <w:color w:val="auto"/>
          <w:sz w:val="24"/>
          <w:lang w:val="sr-Latn-CS"/>
        </w:rPr>
      </w:pPr>
      <w:r w:rsidRPr="005821CE">
        <w:rPr>
          <w:rFonts w:ascii="Garamond" w:hAnsi="Garamond"/>
          <w:color w:val="auto"/>
          <w:sz w:val="24"/>
          <w:lang w:val="sr-Latn-CS"/>
        </w:rPr>
        <w:t xml:space="preserve">Na osnovu člana 66 stav 4 Zakona o uređenju prostora i izgradnji objekata („Sl. list CG“   br. 51/08, 40/10, 34/11, 40/11, 47/11, 35/13 i 39/13) i člana 63 stav 1 tačka 2 Statuta Prijestonice </w:t>
      </w:r>
      <w:r>
        <w:rPr>
          <w:rFonts w:ascii="Garamond" w:hAnsi="Garamond" w:cs="Arial"/>
          <w:bCs/>
          <w:color w:val="auto"/>
          <w:sz w:val="24"/>
          <w:lang w:val="sr-Latn-CS"/>
        </w:rPr>
        <w:t>("Sl. list CG</w:t>
      </w:r>
      <w:r w:rsidRPr="005821CE">
        <w:rPr>
          <w:rFonts w:ascii="Garamond" w:hAnsi="Garamond" w:cs="Arial"/>
          <w:bCs/>
          <w:color w:val="auto"/>
          <w:sz w:val="24"/>
          <w:lang w:val="sr-Latn-CS"/>
        </w:rPr>
        <w:t xml:space="preserve"> - opštinski propisi", br. 19/09, 37/10 i 26/13), uz prethodnu saglasnost Vlade Crne Gor</w:t>
      </w:r>
      <w:r>
        <w:rPr>
          <w:rFonts w:ascii="Garamond" w:hAnsi="Garamond" w:cs="Arial"/>
          <w:bCs/>
          <w:color w:val="auto"/>
          <w:sz w:val="24"/>
          <w:lang w:val="sr-Latn-CS"/>
        </w:rPr>
        <w:t>e broj 08-563/2 od 14.03.2014</w:t>
      </w:r>
      <w:r w:rsidRPr="005821CE">
        <w:rPr>
          <w:rFonts w:ascii="Garamond" w:hAnsi="Garamond" w:cs="Arial"/>
          <w:bCs/>
          <w:color w:val="auto"/>
          <w:sz w:val="24"/>
          <w:lang w:val="sr-Latn-CS"/>
        </w:rPr>
        <w:t>. godine, Skupština Prijestonice, na sjed</w:t>
      </w:r>
      <w:r>
        <w:rPr>
          <w:rFonts w:ascii="Garamond" w:hAnsi="Garamond" w:cs="Arial"/>
          <w:bCs/>
          <w:color w:val="auto"/>
          <w:sz w:val="24"/>
          <w:lang w:val="sr-Latn-CS"/>
        </w:rPr>
        <w:t>nici održanoj dana 27. i 31. 03. 2014</w:t>
      </w:r>
      <w:r w:rsidRPr="005821CE">
        <w:rPr>
          <w:rFonts w:ascii="Garamond" w:hAnsi="Garamond" w:cs="Arial"/>
          <w:bCs/>
          <w:color w:val="auto"/>
          <w:sz w:val="24"/>
          <w:lang w:val="sr-Latn-CS"/>
        </w:rPr>
        <w:t>. godine, donijela je</w:t>
      </w:r>
    </w:p>
    <w:p w:rsidR="00B402A0" w:rsidRPr="005821CE" w:rsidRDefault="00B402A0" w:rsidP="00835235">
      <w:pPr>
        <w:shd w:val="clear" w:color="auto" w:fill="FFFFFF"/>
        <w:spacing w:before="120" w:line="240" w:lineRule="exact"/>
        <w:ind w:right="883"/>
        <w:jc w:val="both"/>
        <w:rPr>
          <w:rFonts w:ascii="Garamond" w:hAnsi="Garamond"/>
          <w:color w:val="auto"/>
          <w:sz w:val="24"/>
        </w:rPr>
      </w:pPr>
    </w:p>
    <w:p w:rsidR="00B402A0" w:rsidRPr="005821CE" w:rsidRDefault="00B402A0">
      <w:pPr>
        <w:shd w:val="clear" w:color="auto" w:fill="FFFFFF"/>
        <w:spacing w:before="120" w:line="240" w:lineRule="exact"/>
        <w:ind w:left="1454" w:right="883" w:firstLine="2385"/>
        <w:jc w:val="both"/>
        <w:rPr>
          <w:rFonts w:ascii="Garamond" w:hAnsi="Garamond"/>
          <w:b/>
          <w:color w:val="auto"/>
          <w:sz w:val="28"/>
          <w:szCs w:val="28"/>
        </w:rPr>
      </w:pPr>
      <w:r w:rsidRPr="005821CE">
        <w:rPr>
          <w:rFonts w:ascii="Garamond" w:hAnsi="Garamond"/>
          <w:b/>
          <w:color w:val="auto"/>
          <w:sz w:val="28"/>
          <w:szCs w:val="28"/>
        </w:rPr>
        <w:t xml:space="preserve">ODLUKU </w:t>
      </w:r>
    </w:p>
    <w:p w:rsidR="00B402A0" w:rsidRPr="005821CE" w:rsidRDefault="00B402A0" w:rsidP="00F94617">
      <w:pPr>
        <w:shd w:val="clear" w:color="auto" w:fill="FFFFFF"/>
        <w:spacing w:before="120" w:line="240" w:lineRule="exact"/>
        <w:ind w:left="1454" w:right="-21" w:hanging="709"/>
        <w:jc w:val="center"/>
        <w:rPr>
          <w:rFonts w:ascii="Garamond" w:hAnsi="Garamond"/>
          <w:b/>
          <w:color w:val="auto"/>
          <w:sz w:val="28"/>
          <w:szCs w:val="28"/>
        </w:rPr>
      </w:pPr>
      <w:r w:rsidRPr="005821CE">
        <w:rPr>
          <w:rFonts w:ascii="Garamond" w:hAnsi="Garamond"/>
          <w:b/>
          <w:color w:val="auto"/>
          <w:sz w:val="28"/>
          <w:szCs w:val="28"/>
        </w:rPr>
        <w:t>o naknadi za komunalno opremanje građevinskog zemljišta</w:t>
      </w:r>
    </w:p>
    <w:p w:rsidR="00B402A0" w:rsidRPr="005821CE" w:rsidRDefault="00B402A0" w:rsidP="00835235">
      <w:pPr>
        <w:shd w:val="clear" w:color="auto" w:fill="FFFFFF"/>
        <w:spacing w:before="120" w:line="240" w:lineRule="exact"/>
        <w:rPr>
          <w:rFonts w:ascii="Garamond" w:hAnsi="Garamond"/>
          <w:color w:val="auto"/>
          <w:sz w:val="24"/>
        </w:rPr>
      </w:pPr>
    </w:p>
    <w:p w:rsidR="00B402A0" w:rsidRPr="005821CE" w:rsidRDefault="00B402A0" w:rsidP="0098321E">
      <w:pPr>
        <w:shd w:val="clear" w:color="auto" w:fill="FFFFFF"/>
        <w:spacing w:before="120" w:line="240" w:lineRule="exact"/>
        <w:jc w:val="center"/>
        <w:rPr>
          <w:rFonts w:ascii="Garamond" w:hAnsi="Garamond"/>
          <w:b/>
          <w:color w:val="auto"/>
          <w:sz w:val="24"/>
        </w:rPr>
      </w:pPr>
      <w:r w:rsidRPr="005821CE">
        <w:rPr>
          <w:rFonts w:ascii="Garamond" w:hAnsi="Garamond"/>
          <w:b/>
          <w:color w:val="auto"/>
          <w:sz w:val="24"/>
        </w:rPr>
        <w:t>I OSNOVNE ODREDBE</w:t>
      </w:r>
    </w:p>
    <w:p w:rsidR="00B402A0" w:rsidRPr="005821CE" w:rsidRDefault="00B402A0">
      <w:pPr>
        <w:shd w:val="clear" w:color="auto" w:fill="FFFFFF"/>
        <w:spacing w:before="120" w:line="240" w:lineRule="exact"/>
        <w:ind w:firstLine="3826"/>
        <w:jc w:val="both"/>
        <w:rPr>
          <w:rFonts w:ascii="Garamond" w:hAnsi="Garamond"/>
          <w:color w:val="auto"/>
          <w:sz w:val="24"/>
        </w:rPr>
      </w:pPr>
    </w:p>
    <w:p w:rsidR="00B402A0" w:rsidRDefault="00B402A0" w:rsidP="000D2BA3">
      <w:pPr>
        <w:shd w:val="clear" w:color="auto" w:fill="FFFFFF"/>
        <w:spacing w:before="120" w:line="240" w:lineRule="exact"/>
        <w:ind w:firstLine="3826"/>
        <w:jc w:val="both"/>
        <w:rPr>
          <w:rFonts w:ascii="Garamond" w:hAnsi="Garamond"/>
          <w:b/>
          <w:color w:val="auto"/>
          <w:sz w:val="24"/>
        </w:rPr>
      </w:pPr>
      <w:r w:rsidRPr="005821CE">
        <w:rPr>
          <w:rFonts w:ascii="Garamond" w:hAnsi="Garamond"/>
          <w:b/>
          <w:color w:val="auto"/>
          <w:sz w:val="24"/>
        </w:rPr>
        <w:t xml:space="preserve">Član l </w:t>
      </w:r>
    </w:p>
    <w:p w:rsidR="00B402A0" w:rsidRDefault="00B402A0" w:rsidP="000D2BA3">
      <w:pPr>
        <w:shd w:val="clear" w:color="auto" w:fill="FFFFFF"/>
        <w:spacing w:before="120" w:line="240" w:lineRule="exact"/>
        <w:jc w:val="both"/>
        <w:rPr>
          <w:rFonts w:ascii="Garamond" w:hAnsi="Garamond"/>
          <w:sz w:val="24"/>
        </w:rPr>
      </w:pPr>
      <w:r w:rsidRPr="005F6A8F">
        <w:rPr>
          <w:rFonts w:ascii="Garamond" w:hAnsi="Garamond"/>
          <w:sz w:val="24"/>
        </w:rPr>
        <w:t>Ovom odlukom propisuju se uslov</w:t>
      </w:r>
      <w:r>
        <w:rPr>
          <w:rFonts w:ascii="Garamond" w:hAnsi="Garamond"/>
          <w:sz w:val="24"/>
        </w:rPr>
        <w:t>i</w:t>
      </w:r>
      <w:r w:rsidRPr="005F6A8F">
        <w:rPr>
          <w:rFonts w:ascii="Garamond" w:hAnsi="Garamond"/>
          <w:sz w:val="24"/>
        </w:rPr>
        <w:t>, način, rokovi i postupak plaćanja naknade za</w:t>
      </w:r>
      <w:r>
        <w:rPr>
          <w:rFonts w:ascii="Garamond" w:hAnsi="Garamond"/>
          <w:b/>
          <w:sz w:val="24"/>
        </w:rPr>
        <w:t xml:space="preserve"> </w:t>
      </w:r>
      <w:r w:rsidRPr="005F6A8F">
        <w:rPr>
          <w:rFonts w:ascii="Garamond" w:hAnsi="Garamond"/>
          <w:sz w:val="24"/>
        </w:rPr>
        <w:t>komunalno opremanje građevinskog zemljišta.</w:t>
      </w:r>
    </w:p>
    <w:p w:rsidR="00B402A0" w:rsidRPr="005C29AC" w:rsidRDefault="00B402A0" w:rsidP="000D2BA3">
      <w:pPr>
        <w:shd w:val="clear" w:color="auto" w:fill="FFFFFF"/>
        <w:spacing w:before="120" w:line="240" w:lineRule="exact"/>
        <w:jc w:val="both"/>
        <w:rPr>
          <w:rFonts w:ascii="Garamond" w:hAnsi="Garamond"/>
          <w:sz w:val="24"/>
        </w:rPr>
      </w:pPr>
    </w:p>
    <w:p w:rsidR="00B402A0" w:rsidRPr="00F819A0" w:rsidRDefault="00B402A0">
      <w:pPr>
        <w:shd w:val="clear" w:color="auto" w:fill="FFFFFF"/>
        <w:spacing w:before="120" w:line="240" w:lineRule="exact"/>
        <w:ind w:firstLine="3835"/>
        <w:jc w:val="both"/>
        <w:rPr>
          <w:rFonts w:ascii="Garamond" w:hAnsi="Garamond"/>
          <w:b/>
          <w:sz w:val="24"/>
        </w:rPr>
      </w:pPr>
      <w:r w:rsidRPr="00F819A0">
        <w:rPr>
          <w:rFonts w:ascii="Garamond" w:hAnsi="Garamond"/>
          <w:b/>
          <w:sz w:val="24"/>
        </w:rPr>
        <w:t xml:space="preserve">Član 2 </w:t>
      </w:r>
    </w:p>
    <w:p w:rsidR="00B402A0" w:rsidRDefault="00B402A0" w:rsidP="005F70E4">
      <w:pPr>
        <w:widowControl/>
        <w:autoSpaceDE w:val="0"/>
        <w:autoSpaceDN w:val="0"/>
        <w:adjustRightInd w:val="0"/>
        <w:jc w:val="both"/>
        <w:rPr>
          <w:rFonts w:ascii="Garamond" w:hAnsi="Garamond"/>
          <w:color w:val="auto"/>
          <w:sz w:val="24"/>
        </w:rPr>
      </w:pPr>
      <w:r w:rsidRPr="005821CE">
        <w:rPr>
          <w:rFonts w:ascii="Garamond" w:hAnsi="Garamond"/>
          <w:sz w:val="24"/>
        </w:rPr>
        <w:t>Uređivanje građevinskog zemljišta podrazumijeva pripremu i opremanje građevinskog zemljišta</w:t>
      </w:r>
      <w:r w:rsidRPr="00083265">
        <w:rPr>
          <w:rFonts w:ascii="Garamond" w:hAnsi="Garamond"/>
          <w:color w:val="auto"/>
          <w:sz w:val="24"/>
        </w:rPr>
        <w:t xml:space="preserve">, u skladu sa Programom uređenja prostora (u daljem tekstu:Program).  </w:t>
      </w:r>
    </w:p>
    <w:p w:rsidR="00B402A0" w:rsidRPr="005821CE" w:rsidRDefault="00B402A0" w:rsidP="005F70E4">
      <w:pPr>
        <w:widowControl/>
        <w:autoSpaceDE w:val="0"/>
        <w:autoSpaceDN w:val="0"/>
        <w:adjustRightInd w:val="0"/>
        <w:jc w:val="both"/>
        <w:rPr>
          <w:rFonts w:ascii="Garamond" w:hAnsi="Garamond"/>
          <w:color w:val="4F5053"/>
          <w:sz w:val="24"/>
        </w:rPr>
      </w:pPr>
    </w:p>
    <w:p w:rsidR="00B402A0" w:rsidRPr="00835235" w:rsidRDefault="00B402A0" w:rsidP="005821CE">
      <w:pPr>
        <w:shd w:val="clear" w:color="auto" w:fill="FFFFFF"/>
        <w:spacing w:before="120" w:line="120" w:lineRule="auto"/>
        <w:ind w:left="5" w:hanging="5"/>
        <w:jc w:val="both"/>
        <w:rPr>
          <w:rFonts w:ascii="Garamond" w:hAnsi="Garamond"/>
          <w:sz w:val="24"/>
        </w:rPr>
      </w:pPr>
    </w:p>
    <w:p w:rsidR="00B402A0" w:rsidRPr="002414CA" w:rsidRDefault="00B402A0" w:rsidP="002414CA">
      <w:pPr>
        <w:shd w:val="clear" w:color="auto" w:fill="FFFFFF"/>
        <w:spacing w:before="120" w:line="120" w:lineRule="auto"/>
        <w:ind w:left="5" w:hanging="5"/>
        <w:jc w:val="center"/>
        <w:rPr>
          <w:rFonts w:ascii="Garamond" w:hAnsi="Garamond"/>
          <w:b/>
          <w:sz w:val="24"/>
        </w:rPr>
      </w:pPr>
      <w:r w:rsidRPr="00113F5D">
        <w:rPr>
          <w:rFonts w:ascii="Garamond" w:hAnsi="Garamond"/>
          <w:b/>
          <w:sz w:val="24"/>
        </w:rPr>
        <w:t>II USLOVI</w:t>
      </w:r>
    </w:p>
    <w:p w:rsidR="00B402A0" w:rsidRPr="00F819A0" w:rsidRDefault="00B402A0">
      <w:pPr>
        <w:shd w:val="clear" w:color="auto" w:fill="FFFFFF"/>
        <w:spacing w:before="120" w:line="240" w:lineRule="exact"/>
        <w:ind w:firstLine="3672"/>
        <w:jc w:val="both"/>
        <w:rPr>
          <w:rFonts w:ascii="Garamond" w:hAnsi="Garamond"/>
          <w:b/>
          <w:sz w:val="24"/>
        </w:rPr>
      </w:pPr>
      <w:r w:rsidRPr="00835235">
        <w:rPr>
          <w:rFonts w:ascii="Garamond" w:hAnsi="Garamond"/>
          <w:sz w:val="24"/>
        </w:rPr>
        <w:t xml:space="preserve">    </w:t>
      </w:r>
      <w:r w:rsidRPr="00F819A0">
        <w:rPr>
          <w:rFonts w:ascii="Garamond" w:hAnsi="Garamond"/>
          <w:b/>
          <w:sz w:val="24"/>
        </w:rPr>
        <w:t xml:space="preserve">Član 3 </w:t>
      </w:r>
    </w:p>
    <w:p w:rsidR="00B402A0" w:rsidRPr="00835235" w:rsidRDefault="00B402A0" w:rsidP="002414CA">
      <w:pPr>
        <w:shd w:val="clear" w:color="auto" w:fill="FFFFFF"/>
        <w:spacing w:before="120" w:line="240" w:lineRule="exact"/>
        <w:jc w:val="both"/>
        <w:rPr>
          <w:rFonts w:ascii="Garamond" w:hAnsi="Garamond"/>
          <w:sz w:val="24"/>
        </w:rPr>
      </w:pPr>
      <w:r w:rsidRPr="00835235">
        <w:rPr>
          <w:rFonts w:ascii="Garamond" w:hAnsi="Garamond" w:cs="Arial"/>
          <w:sz w:val="24"/>
        </w:rPr>
        <w:t>Naknadu za komunalno opremanje građevinskog zemljišta</w:t>
      </w:r>
      <w:r>
        <w:rPr>
          <w:rFonts w:ascii="Garamond" w:hAnsi="Garamond" w:cs="Arial"/>
          <w:sz w:val="24"/>
        </w:rPr>
        <w:t xml:space="preserve"> (u daljem tekstu:naknada), plaća investitor.</w:t>
      </w:r>
    </w:p>
    <w:p w:rsidR="00B402A0" w:rsidRPr="00F819A0" w:rsidRDefault="00B402A0" w:rsidP="00CB3214">
      <w:pPr>
        <w:shd w:val="clear" w:color="auto" w:fill="FFFFFF"/>
        <w:spacing w:before="120" w:line="240" w:lineRule="exact"/>
        <w:jc w:val="center"/>
        <w:rPr>
          <w:rFonts w:ascii="Garamond" w:hAnsi="Garamond"/>
          <w:b/>
          <w:sz w:val="24"/>
        </w:rPr>
      </w:pPr>
      <w:r>
        <w:rPr>
          <w:rFonts w:ascii="Garamond" w:hAnsi="Garamond"/>
          <w:b/>
          <w:sz w:val="24"/>
        </w:rPr>
        <w:t>Član 4</w:t>
      </w:r>
    </w:p>
    <w:p w:rsidR="00B402A0" w:rsidRPr="00835235" w:rsidRDefault="00B402A0" w:rsidP="00C33CCD">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Obračun naknade za komunalno opremanje građevinskog zemljišta vrši organ lokalne uprave </w:t>
      </w:r>
      <w:r>
        <w:rPr>
          <w:rFonts w:ascii="Garamond" w:hAnsi="Garamond" w:cs="Arial"/>
          <w:sz w:val="24"/>
        </w:rPr>
        <w:t>nadležan</w:t>
      </w:r>
      <w:r w:rsidRPr="00835235">
        <w:rPr>
          <w:rFonts w:ascii="Garamond" w:hAnsi="Garamond" w:cs="Arial"/>
          <w:sz w:val="24"/>
        </w:rPr>
        <w:t xml:space="preserve"> za komunalne djelatnosti.</w:t>
      </w:r>
    </w:p>
    <w:p w:rsidR="00B402A0" w:rsidRPr="00835235" w:rsidRDefault="00B402A0" w:rsidP="003421FF">
      <w:pPr>
        <w:shd w:val="clear" w:color="auto" w:fill="FFFFFF"/>
        <w:spacing w:before="120" w:line="240" w:lineRule="exact"/>
        <w:ind w:left="5" w:hanging="5"/>
        <w:jc w:val="both"/>
        <w:rPr>
          <w:rFonts w:ascii="Garamond" w:hAnsi="Garamond"/>
          <w:sz w:val="24"/>
        </w:rPr>
      </w:pPr>
      <w:r w:rsidRPr="00835235">
        <w:rPr>
          <w:rFonts w:ascii="Garamond" w:hAnsi="Garamond" w:cs="Arial"/>
          <w:sz w:val="24"/>
        </w:rPr>
        <w:t xml:space="preserve">    Obračun naknade vrši se</w:t>
      </w:r>
      <w:r w:rsidRPr="00835235">
        <w:rPr>
          <w:rFonts w:ascii="Garamond" w:hAnsi="Garamond"/>
          <w:sz w:val="24"/>
        </w:rPr>
        <w:t xml:space="preserve"> na osnovu</w:t>
      </w:r>
      <w:r>
        <w:rPr>
          <w:rFonts w:ascii="Garamond" w:hAnsi="Garamond"/>
          <w:sz w:val="24"/>
        </w:rPr>
        <w:t xml:space="preserve"> revidovanog idejnog ili </w:t>
      </w:r>
      <w:r w:rsidRPr="00835235">
        <w:rPr>
          <w:rFonts w:ascii="Garamond" w:hAnsi="Garamond"/>
          <w:sz w:val="24"/>
        </w:rPr>
        <w:t xml:space="preserve"> glavnog projekta, po m</w:t>
      </w:r>
      <w:r w:rsidRPr="00835235">
        <w:rPr>
          <w:rFonts w:ascii="Garamond" w:hAnsi="Garamond"/>
          <w:sz w:val="24"/>
          <w:vertAlign w:val="superscript"/>
        </w:rPr>
        <w:t>2</w:t>
      </w:r>
      <w:r w:rsidRPr="00835235">
        <w:rPr>
          <w:rFonts w:ascii="Garamond" w:hAnsi="Garamond"/>
          <w:sz w:val="24"/>
        </w:rPr>
        <w:t xml:space="preserve"> neto površine objekta </w:t>
      </w:r>
      <w:r>
        <w:rPr>
          <w:rFonts w:ascii="Garamond" w:hAnsi="Garamond"/>
          <w:sz w:val="24"/>
        </w:rPr>
        <w:t xml:space="preserve"> i </w:t>
      </w:r>
      <w:r w:rsidRPr="00835235">
        <w:rPr>
          <w:rFonts w:ascii="Garamond" w:hAnsi="Garamond"/>
          <w:sz w:val="24"/>
        </w:rPr>
        <w:t>m</w:t>
      </w:r>
      <w:r w:rsidRPr="00835235">
        <w:rPr>
          <w:rFonts w:ascii="Garamond" w:hAnsi="Garamond"/>
          <w:sz w:val="24"/>
          <w:vertAlign w:val="superscript"/>
        </w:rPr>
        <w:t>2</w:t>
      </w:r>
      <w:r w:rsidRPr="00835235">
        <w:rPr>
          <w:rFonts w:ascii="Garamond" w:hAnsi="Garamond"/>
          <w:sz w:val="24"/>
        </w:rPr>
        <w:t xml:space="preserve"> otvorenog prostora na parceli projekto</w:t>
      </w:r>
      <w:r>
        <w:rPr>
          <w:rFonts w:ascii="Garamond" w:hAnsi="Garamond"/>
          <w:sz w:val="24"/>
        </w:rPr>
        <w:t>vanog za obavljanje djelatnosti,</w:t>
      </w:r>
    </w:p>
    <w:p w:rsidR="00B402A0" w:rsidRPr="00083265" w:rsidRDefault="00B402A0" w:rsidP="005821CE">
      <w:pPr>
        <w:widowControl/>
        <w:autoSpaceDE w:val="0"/>
        <w:autoSpaceDN w:val="0"/>
        <w:adjustRightInd w:val="0"/>
        <w:rPr>
          <w:rFonts w:ascii="Garamond" w:hAnsi="Garamond"/>
          <w:color w:val="auto"/>
          <w:sz w:val="24"/>
        </w:rPr>
      </w:pPr>
      <w:r w:rsidRPr="00083265">
        <w:rPr>
          <w:rFonts w:ascii="Garamond" w:hAnsi="Garamond"/>
          <w:color w:val="auto"/>
          <w:sz w:val="24"/>
        </w:rPr>
        <w:t xml:space="preserve">prema Pravilniku o načinu obračuna površine </w:t>
      </w:r>
      <w:r>
        <w:rPr>
          <w:rFonts w:ascii="Garamond" w:hAnsi="Garamond"/>
          <w:color w:val="auto"/>
          <w:sz w:val="24"/>
        </w:rPr>
        <w:t xml:space="preserve">i </w:t>
      </w:r>
      <w:r w:rsidRPr="00083265">
        <w:rPr>
          <w:rFonts w:ascii="Garamond" w:hAnsi="Garamond"/>
          <w:color w:val="auto"/>
          <w:sz w:val="24"/>
        </w:rPr>
        <w:t>zapremine objekata ("Sl.</w:t>
      </w:r>
      <w:r>
        <w:rPr>
          <w:rFonts w:ascii="Garamond" w:hAnsi="Garamond"/>
          <w:color w:val="auto"/>
          <w:sz w:val="24"/>
        </w:rPr>
        <w:t xml:space="preserve"> </w:t>
      </w:r>
      <w:r w:rsidRPr="00083265">
        <w:rPr>
          <w:rFonts w:ascii="Garamond" w:hAnsi="Garamond"/>
          <w:color w:val="auto"/>
          <w:sz w:val="24"/>
        </w:rPr>
        <w:t>list CG</w:t>
      </w:r>
      <w:r>
        <w:rPr>
          <w:rFonts w:ascii="Garamond" w:hAnsi="Garamond"/>
          <w:color w:val="auto"/>
          <w:sz w:val="24"/>
        </w:rPr>
        <w:t>”</w:t>
      </w:r>
      <w:r w:rsidRPr="00083265">
        <w:rPr>
          <w:rFonts w:ascii="Garamond" w:hAnsi="Garamond"/>
          <w:color w:val="auto"/>
          <w:sz w:val="24"/>
        </w:rPr>
        <w:t xml:space="preserve"> br. 47113) i standard MEST EN15221-6.</w:t>
      </w:r>
    </w:p>
    <w:p w:rsidR="00B402A0" w:rsidRPr="00083265" w:rsidRDefault="00B402A0" w:rsidP="005F70E4">
      <w:pPr>
        <w:widowControl/>
        <w:autoSpaceDE w:val="0"/>
        <w:autoSpaceDN w:val="0"/>
        <w:adjustRightInd w:val="0"/>
        <w:jc w:val="both"/>
        <w:rPr>
          <w:rFonts w:ascii="Garamond" w:hAnsi="Garamond"/>
          <w:color w:val="auto"/>
          <w:sz w:val="24"/>
        </w:rPr>
      </w:pPr>
      <w:r w:rsidRPr="00083265">
        <w:rPr>
          <w:rFonts w:ascii="Garamond" w:hAnsi="Garamond"/>
          <w:color w:val="auto"/>
          <w:sz w:val="24"/>
        </w:rPr>
        <w:t xml:space="preserve">Organ lokalne uprave nadležan za izdavanje građevinske dozvole dostavlja organu lokalne uprave nadležnom za obračun naknade revidovani idejni odnosno glavni projekat radi obračuna naknade, sa izjašnjenjem o potrebnom i </w:t>
      </w:r>
      <w:r>
        <w:rPr>
          <w:rFonts w:ascii="Garamond" w:hAnsi="Garamond"/>
          <w:color w:val="auto"/>
          <w:sz w:val="24"/>
        </w:rPr>
        <w:t xml:space="preserve">nedostajućem broju parkirno </w:t>
      </w:r>
      <w:r w:rsidRPr="00083265">
        <w:rPr>
          <w:rFonts w:ascii="Garamond" w:hAnsi="Garamond"/>
          <w:color w:val="auto"/>
          <w:sz w:val="24"/>
        </w:rPr>
        <w:t>garažnih mjesta, odmah nakon podnošenja zahtjeva za izdavanje građevinske dozvole od strane</w:t>
      </w:r>
      <w:r>
        <w:rPr>
          <w:rFonts w:ascii="Garamond" w:hAnsi="Garamond"/>
          <w:color w:val="auto"/>
          <w:sz w:val="24"/>
        </w:rPr>
        <w:t xml:space="preserve"> investitora</w:t>
      </w:r>
      <w:r w:rsidRPr="00083265">
        <w:rPr>
          <w:rFonts w:ascii="Garamond" w:hAnsi="Garamond"/>
          <w:color w:val="auto"/>
          <w:sz w:val="24"/>
        </w:rPr>
        <w:t>.</w:t>
      </w:r>
    </w:p>
    <w:p w:rsidR="00B402A0" w:rsidRPr="002414CA" w:rsidRDefault="00B402A0" w:rsidP="002414CA">
      <w:pPr>
        <w:shd w:val="clear" w:color="auto" w:fill="FFFFFF"/>
        <w:spacing w:before="120" w:line="240" w:lineRule="exact"/>
        <w:jc w:val="center"/>
        <w:rPr>
          <w:rFonts w:ascii="Garamond" w:hAnsi="Garamond"/>
          <w:b/>
          <w:sz w:val="24"/>
        </w:rPr>
      </w:pPr>
      <w:r w:rsidRPr="0054150F">
        <w:rPr>
          <w:rFonts w:ascii="Garamond" w:hAnsi="Garamond"/>
          <w:b/>
          <w:sz w:val="24"/>
        </w:rPr>
        <w:t>II</w:t>
      </w:r>
      <w:r>
        <w:rPr>
          <w:rFonts w:ascii="Garamond" w:hAnsi="Garamond"/>
          <w:b/>
          <w:sz w:val="24"/>
        </w:rPr>
        <w:t>I</w:t>
      </w:r>
      <w:r w:rsidRPr="0054150F">
        <w:rPr>
          <w:rFonts w:ascii="Garamond" w:hAnsi="Garamond"/>
          <w:b/>
          <w:sz w:val="24"/>
        </w:rPr>
        <w:t xml:space="preserve"> MJERILA I KRITERIJUMI ZA UTVRĐIVANJE VISINE NAKNADE</w:t>
      </w:r>
    </w:p>
    <w:p w:rsidR="00B402A0" w:rsidRPr="00F819A0" w:rsidRDefault="00B402A0" w:rsidP="00696BC2">
      <w:pPr>
        <w:shd w:val="clear" w:color="auto" w:fill="FFFFFF"/>
        <w:spacing w:before="120" w:line="240" w:lineRule="exact"/>
        <w:jc w:val="center"/>
        <w:rPr>
          <w:rFonts w:ascii="Garamond" w:hAnsi="Garamond"/>
          <w:b/>
          <w:sz w:val="24"/>
        </w:rPr>
      </w:pPr>
      <w:r w:rsidRPr="00F819A0">
        <w:rPr>
          <w:rFonts w:ascii="Garamond" w:hAnsi="Garamond"/>
          <w:b/>
          <w:sz w:val="24"/>
        </w:rPr>
        <w:t>Č</w:t>
      </w:r>
      <w:r>
        <w:rPr>
          <w:rFonts w:ascii="Garamond" w:hAnsi="Garamond"/>
          <w:b/>
          <w:sz w:val="24"/>
        </w:rPr>
        <w:t>lan 5</w:t>
      </w:r>
    </w:p>
    <w:p w:rsidR="00B402A0" w:rsidRPr="00835235" w:rsidRDefault="00B402A0">
      <w:pPr>
        <w:shd w:val="clear" w:color="auto" w:fill="FFFFFF"/>
        <w:spacing w:before="120" w:line="240" w:lineRule="exact"/>
        <w:jc w:val="both"/>
        <w:rPr>
          <w:rFonts w:ascii="Garamond" w:hAnsi="Garamond"/>
          <w:color w:val="auto"/>
          <w:sz w:val="24"/>
        </w:rPr>
      </w:pPr>
      <w:r w:rsidRPr="00835235">
        <w:rPr>
          <w:rFonts w:ascii="Garamond" w:hAnsi="Garamond"/>
          <w:color w:val="auto"/>
          <w:sz w:val="24"/>
        </w:rPr>
        <w:t xml:space="preserve">Visina naknade </w:t>
      </w:r>
      <w:r>
        <w:rPr>
          <w:rFonts w:ascii="Garamond" w:hAnsi="Garamond"/>
          <w:color w:val="auto"/>
          <w:sz w:val="24"/>
        </w:rPr>
        <w:t>za uređivanje građevinskog zeml</w:t>
      </w:r>
      <w:r w:rsidRPr="00835235">
        <w:rPr>
          <w:rFonts w:ascii="Garamond" w:hAnsi="Garamond"/>
          <w:color w:val="auto"/>
          <w:sz w:val="24"/>
        </w:rPr>
        <w:t>jišta utvrđuje se u zavisnosti od:</w:t>
      </w:r>
    </w:p>
    <w:p w:rsidR="00B402A0" w:rsidRPr="00835235" w:rsidRDefault="00B402A0" w:rsidP="00957F16">
      <w:pPr>
        <w:shd w:val="clear" w:color="auto" w:fill="FFFFFF"/>
        <w:spacing w:before="120" w:line="240" w:lineRule="exact"/>
        <w:ind w:left="142" w:hanging="142"/>
        <w:jc w:val="both"/>
        <w:rPr>
          <w:rFonts w:ascii="Garamond" w:hAnsi="Garamond"/>
          <w:color w:val="auto"/>
          <w:sz w:val="24"/>
        </w:rPr>
      </w:pPr>
      <w:r>
        <w:rPr>
          <w:rFonts w:ascii="Garamond" w:hAnsi="Garamond"/>
          <w:color w:val="auto"/>
          <w:sz w:val="24"/>
        </w:rPr>
        <w:t>-Pro</w:t>
      </w:r>
      <w:r w:rsidRPr="00835235">
        <w:rPr>
          <w:rFonts w:ascii="Garamond" w:hAnsi="Garamond"/>
          <w:color w:val="auto"/>
          <w:sz w:val="24"/>
        </w:rPr>
        <w:t xml:space="preserve">sječnih troškova komunalnog opremanja koji </w:t>
      </w:r>
      <w:r>
        <w:rPr>
          <w:rFonts w:ascii="Garamond" w:hAnsi="Garamond"/>
          <w:color w:val="auto"/>
          <w:sz w:val="24"/>
        </w:rPr>
        <w:t xml:space="preserve">se određuju Programom uređenja </w:t>
      </w:r>
      <w:r w:rsidRPr="00835235">
        <w:rPr>
          <w:rFonts w:ascii="Garamond" w:hAnsi="Garamond"/>
          <w:color w:val="auto"/>
          <w:sz w:val="24"/>
        </w:rPr>
        <w:t>prostora</w:t>
      </w:r>
      <w:r>
        <w:rPr>
          <w:rFonts w:ascii="Garamond" w:hAnsi="Garamond"/>
          <w:color w:val="auto"/>
          <w:sz w:val="24"/>
        </w:rPr>
        <w:t xml:space="preserve">  </w:t>
      </w:r>
    </w:p>
    <w:p w:rsidR="00B402A0" w:rsidRPr="00835235" w:rsidRDefault="00B402A0">
      <w:pPr>
        <w:shd w:val="clear" w:color="auto" w:fill="FFFFFF"/>
        <w:spacing w:before="120" w:line="240" w:lineRule="exact"/>
        <w:jc w:val="both"/>
        <w:rPr>
          <w:rFonts w:ascii="Garamond" w:hAnsi="Garamond"/>
          <w:color w:val="auto"/>
          <w:sz w:val="24"/>
        </w:rPr>
      </w:pPr>
      <w:r>
        <w:rPr>
          <w:rFonts w:ascii="Garamond" w:hAnsi="Garamond"/>
          <w:color w:val="auto"/>
          <w:sz w:val="24"/>
        </w:rPr>
        <w:t>-U</w:t>
      </w:r>
      <w:r w:rsidRPr="00835235">
        <w:rPr>
          <w:rFonts w:ascii="Garamond" w:hAnsi="Garamond"/>
          <w:color w:val="auto"/>
          <w:sz w:val="24"/>
        </w:rPr>
        <w:t>rbanističke zone</w:t>
      </w:r>
      <w:r>
        <w:rPr>
          <w:rFonts w:ascii="Garamond" w:hAnsi="Garamond"/>
          <w:color w:val="auto"/>
          <w:sz w:val="24"/>
        </w:rPr>
        <w:t xml:space="preserve"> i s</w:t>
      </w:r>
      <w:r w:rsidRPr="00835235">
        <w:rPr>
          <w:rFonts w:ascii="Garamond" w:hAnsi="Garamond"/>
          <w:color w:val="auto"/>
          <w:sz w:val="24"/>
        </w:rPr>
        <w:t>tepena komunalne oprem</w:t>
      </w:r>
      <w:r>
        <w:rPr>
          <w:rFonts w:ascii="Garamond" w:hAnsi="Garamond"/>
          <w:color w:val="auto"/>
          <w:sz w:val="24"/>
        </w:rPr>
        <w:t>ljenosti građevinskog zemljišta.</w:t>
      </w:r>
    </w:p>
    <w:p w:rsidR="00B402A0" w:rsidRPr="00876562" w:rsidRDefault="00B402A0" w:rsidP="00876562">
      <w:pPr>
        <w:shd w:val="clear" w:color="auto" w:fill="FFFFFF"/>
        <w:spacing w:before="120" w:line="240" w:lineRule="exact"/>
        <w:jc w:val="both"/>
        <w:rPr>
          <w:rFonts w:ascii="Garamond" w:hAnsi="Garamond"/>
          <w:color w:val="auto"/>
          <w:sz w:val="24"/>
        </w:rPr>
      </w:pPr>
      <w:r w:rsidRPr="00835235">
        <w:rPr>
          <w:rFonts w:ascii="Garamond" w:hAnsi="Garamond"/>
          <w:b/>
          <w:color w:val="auto"/>
          <w:sz w:val="24"/>
        </w:rPr>
        <w:tab/>
      </w:r>
      <w:r w:rsidRPr="00835235">
        <w:rPr>
          <w:rFonts w:ascii="Garamond" w:hAnsi="Garamond"/>
          <w:sz w:val="24"/>
        </w:rPr>
        <w:t>.</w:t>
      </w:r>
    </w:p>
    <w:p w:rsidR="00B402A0" w:rsidRPr="00F819A0" w:rsidRDefault="00B402A0">
      <w:pPr>
        <w:shd w:val="clear" w:color="auto" w:fill="FFFFFF"/>
        <w:spacing w:before="120" w:line="240" w:lineRule="exact"/>
        <w:jc w:val="center"/>
        <w:rPr>
          <w:rFonts w:ascii="Garamond" w:hAnsi="Garamond"/>
          <w:b/>
          <w:sz w:val="24"/>
        </w:rPr>
      </w:pPr>
      <w:r>
        <w:rPr>
          <w:rFonts w:ascii="Garamond" w:hAnsi="Garamond"/>
          <w:b/>
          <w:sz w:val="24"/>
        </w:rPr>
        <w:t>Član 6</w:t>
      </w:r>
    </w:p>
    <w:p w:rsidR="00B402A0" w:rsidRDefault="00B402A0" w:rsidP="00701966">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Osnov za određivanje granica urbanističkih zona</w:t>
      </w:r>
      <w:r>
        <w:rPr>
          <w:rFonts w:ascii="Garamond" w:hAnsi="Garamond" w:cs="Arial"/>
          <w:sz w:val="24"/>
        </w:rPr>
        <w:t xml:space="preserve"> utvrđen je</w:t>
      </w:r>
      <w:r w:rsidRPr="00835235">
        <w:rPr>
          <w:rFonts w:ascii="Garamond" w:hAnsi="Garamond" w:cs="Arial"/>
          <w:sz w:val="24"/>
        </w:rPr>
        <w:t xml:space="preserve"> polazeći od tržišne vrijednosti građevinskog zemljišta, posebnih urbanističkih pogodnosti i pristupačnosti lokacije, stepena komunalne opremljenosti gra</w:t>
      </w:r>
      <w:r>
        <w:rPr>
          <w:rFonts w:ascii="Garamond" w:hAnsi="Garamond" w:cs="Arial"/>
          <w:sz w:val="24"/>
        </w:rPr>
        <w:t xml:space="preserve">đevinskog zemljišta, </w:t>
      </w:r>
      <w:r w:rsidRPr="00835235">
        <w:rPr>
          <w:rFonts w:ascii="Garamond" w:hAnsi="Garamond" w:cs="Arial"/>
          <w:sz w:val="24"/>
        </w:rPr>
        <w:t xml:space="preserve"> povezanost</w:t>
      </w:r>
      <w:r>
        <w:rPr>
          <w:rFonts w:ascii="Garamond" w:hAnsi="Garamond" w:cs="Arial"/>
          <w:sz w:val="24"/>
        </w:rPr>
        <w:t>i</w:t>
      </w:r>
      <w:r w:rsidRPr="00835235">
        <w:rPr>
          <w:rFonts w:ascii="Garamond" w:hAnsi="Garamond" w:cs="Arial"/>
          <w:sz w:val="24"/>
        </w:rPr>
        <w:t xml:space="preserve"> sa zonama centralne aktivnosti, održavanje javnih površina i druge pogodnosti koje zemljište pruža investitoru.</w:t>
      </w:r>
    </w:p>
    <w:p w:rsidR="00B402A0" w:rsidRPr="00701966" w:rsidRDefault="00B402A0" w:rsidP="00701966">
      <w:pPr>
        <w:autoSpaceDE w:val="0"/>
        <w:autoSpaceDN w:val="0"/>
        <w:adjustRightInd w:val="0"/>
        <w:spacing w:before="40"/>
        <w:jc w:val="both"/>
        <w:rPr>
          <w:rFonts w:ascii="Garamond" w:hAnsi="Garamond" w:cs="Arial"/>
          <w:sz w:val="24"/>
        </w:rPr>
      </w:pPr>
    </w:p>
    <w:p w:rsidR="00B402A0" w:rsidRPr="00F819A0" w:rsidRDefault="00B402A0" w:rsidP="00F819A0">
      <w:pPr>
        <w:shd w:val="clear" w:color="auto" w:fill="FFFFFF"/>
        <w:spacing w:before="120" w:line="240" w:lineRule="exact"/>
        <w:jc w:val="center"/>
        <w:rPr>
          <w:rFonts w:ascii="Garamond" w:hAnsi="Garamond"/>
          <w:b/>
          <w:color w:val="auto"/>
          <w:sz w:val="24"/>
        </w:rPr>
      </w:pPr>
      <w:r>
        <w:rPr>
          <w:rFonts w:ascii="Garamond" w:hAnsi="Garamond"/>
          <w:b/>
          <w:color w:val="auto"/>
          <w:sz w:val="24"/>
        </w:rPr>
        <w:t>Član 7</w:t>
      </w:r>
    </w:p>
    <w:p w:rsidR="00B402A0" w:rsidRPr="00835235" w:rsidRDefault="00B402A0" w:rsidP="00701966">
      <w:pPr>
        <w:shd w:val="clear" w:color="auto" w:fill="FFFFFF"/>
        <w:spacing w:before="120" w:line="240" w:lineRule="exact"/>
        <w:ind w:left="14" w:right="10" w:hanging="14"/>
        <w:jc w:val="both"/>
        <w:rPr>
          <w:rFonts w:ascii="Garamond" w:hAnsi="Garamond"/>
          <w:sz w:val="24"/>
        </w:rPr>
      </w:pPr>
      <w:r w:rsidRPr="00835235">
        <w:rPr>
          <w:rFonts w:ascii="Garamond" w:hAnsi="Garamond"/>
          <w:sz w:val="24"/>
        </w:rPr>
        <w:t>Granice urbanističkih zona utvrđene su na osnovu zahvata planskih dokumenata, u skladu sa grafičkim prilogom koji je sastavni dio ove odluke, i to:</w:t>
      </w:r>
    </w:p>
    <w:p w:rsidR="00B402A0" w:rsidRPr="00835235" w:rsidRDefault="00B402A0" w:rsidP="00BA4321">
      <w:pPr>
        <w:autoSpaceDE w:val="0"/>
        <w:autoSpaceDN w:val="0"/>
        <w:adjustRightInd w:val="0"/>
        <w:spacing w:before="40"/>
        <w:rPr>
          <w:rFonts w:ascii="Garamond" w:hAnsi="Garamond" w:cs="Arial"/>
          <w:sz w:val="24"/>
        </w:rPr>
      </w:pPr>
      <w:r w:rsidRPr="00835235">
        <w:rPr>
          <w:rFonts w:ascii="Garamond" w:hAnsi="Garamond" w:cs="Arial"/>
          <w:sz w:val="24"/>
        </w:rPr>
        <w:t xml:space="preserve">   </w:t>
      </w:r>
      <w:r w:rsidRPr="00835235">
        <w:rPr>
          <w:rFonts w:ascii="Garamond" w:hAnsi="Garamond" w:cs="Arial"/>
          <w:b/>
          <w:sz w:val="24"/>
        </w:rPr>
        <w:t>ZONA Ia</w:t>
      </w:r>
      <w:r w:rsidRPr="00835235">
        <w:rPr>
          <w:rFonts w:ascii="Garamond" w:hAnsi="Garamond" w:cs="Arial"/>
          <w:sz w:val="24"/>
        </w:rPr>
        <w:t>:</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zaštićeni prostor ISTORIJSKOG JEZGRA-Zona gradskog jezgra i Parkovska zona, odnosno:Od ul. Nikca od Rovina, ul. Vojvode Boža Petrovića, Grahovska ul., pored Zelene zgrade, Fudbalskog stadiona i Sportskog centra, Mojkovačka ul. od Sportskog centra do kraja ul. Ivana Crnojevića, granicom bolničkog kompleksa "Danilo I", ul. Vuka Mićunovica, u nastavku ul. Štampara Makarija, dio Vučedolske ul., pored Ljetnje pozornice, granicom KO Cetinje I, istočnom granicom komleksa Univerzitetski centar (Stari OBOD), iza bivših upravnih zgrada OBOD-a, do početka ul. Nikca od Rovina.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 ul.Njegoševa, ul.Novice Cerovića, ul.Vučedolska, ul.Štampara Makarija, ul.Vuka Mićunovića, ul.Petra Lubarde, ul.Zmaj Jovina, ul.Dečanska, ul.Nikca od Rovina, dio ul.Baja Pivljanina, ul.Jovana Tomaševića, ul.Balšića Pazar I i II, ul.Ivana Crnojevića, ul. Vladike Petra I, ul.Vojvode Batrića Martinovića, ul.Alekse Šantića, dio ul.Vojvode Boža Petrovića, ul.13. Novembar i ul.Grahovska.</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Ib:</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u okviru ISTORIJSKOG JEZGRA Zonu sporta, odnosno:Od kat. parcele br. 2339-Zelena zgrada, granicom Fudbalskog stadiona i Starog groblja, Obilića ul., Mojkovačkom ul. do Sportskog centra, pored Fudbalskog stadiona i Zelene zgrade do početka Grahovske ul., završno sa kat. parcelom br. 2339.</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 dio Mojkovačke ulice, dio ulice Obilića, granicom fudbalskog stadiona, dio ul.Vojvode Boža i dio ul.Grahovske</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Ic:</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u okviru ISTORIJSKOG JEZGRA Zonu Stari OBOD (Univerzitetski centar), odnosno:</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Od ul. Nikca od Rovina, iza bivših upravnih zgrada OBOD-a, granicom komleksa Univerzitetski centar (Stari OBOD) do ul. Bogdanov kraj, granicom stambenog bloka do početka ul. Nikca od Rovina.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Zonom I obuhvaćene su obije strane ulica, do građevinske linije objekata, koje se graniče sa drugim zonama.</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II:</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prostor Aerodroma, dio Bogdanovog kraja i dio Industrijske zone (novi OBOD i Košuta), odnosno:Ul. Nikca od Rovina, granicom stambenog bloka do ul. Peka Pavlovica, ul. Peka Pavlovica, dijelom Lovcenske ul., zapadnom granicom Novog groblja, zapadnim granicama kompleksa: Komunalnog preduzeća, Kartonaže i Košute, Bulevarom crnogorskih heroja, zapadnom granicom kompleksa Novi OBOD, Mojkovačkom ul., ul. Obilica, granicom Starog groblja i Fudbalskog stadiona, uz kat. parcelu Zelene zgrade, ul. vojvode Boža Petrovića do ul. Nikca od Rovina.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 dio ul.Lovćenske do ul.Peka Pavlovića, dio ul.Jaroslava Čermaka, ul.Bulevar Crnogorskih heroja, ul.Pavla Rovinjskog, ul.IV Proleterske brigade, ul.Hercegovačka, ul.Nikole Lekića, ul.Puškinova, ul.Aleksandra Lesa Ivanovića, ul.Jabučka, ul.Pera Počeka, Ul.Mojkovačka (od ul.Bulevara Crnogorkih heroja do ul.Obilića), ul.Omladinska, ul.IV jul, ul.Bore Stankovića, ul.Vladike Vasilija, ul.Sava Burića, ulica Vojvode Bože Petrovića (do ul.Nikca od Rovina), ulDŽ Crnogorske brigade i ul.Vojvode Mirka Petrovića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Zonom II obuhvaćene su obije strane ulica, do građevinske linije objekata, koje se graniče sa III i IV zonom.</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IIIa: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dio prostora naselja Gruda i Donje polje, dio naselja Crna greda i naselje Donji kraj, odnosno: Od granice kompleksa Novi OBOD, granicom KO Cetinje I- obodom Donjeg kraja i prostora iznad Sportskog centra i Autobuske stanice do stambenog naselja iza benzinske pumpe, granicom kat. parcela br. 3837/1, 3833, 3783 i 3780/1, granicom KO Cetinje I-iznad magistralne saobraćajnice Cetinje- Budva, granicom kat. parcele br. 3981/1, ul. koja prolazi kroz naselje Pod granicom, pored ponora, ul. Vladike Vasilija, Vučedolska ul., ul. Štampara Makarija, ul. Vuka Mićunovića, granicom bolničkog kompleksa "Danilo I", ul. Ivana Crnojevića, Mojkovačkom ul., granicom kompleksa Novi OBOD.</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 sve ulice u DUP Donji Kraj i ulice u DUP Donje</w:t>
      </w:r>
      <w:r>
        <w:rPr>
          <w:rFonts w:ascii="Garamond" w:hAnsi="Garamond" w:cs="Arial"/>
          <w:sz w:val="24"/>
        </w:rPr>
        <w:t xml:space="preserve"> Polje</w:t>
      </w:r>
      <w:r w:rsidRPr="00835235">
        <w:rPr>
          <w:rFonts w:ascii="Garamond" w:hAnsi="Garamond" w:cs="Arial"/>
          <w:sz w:val="24"/>
        </w:rPr>
        <w:t>: ul.Vučedolska, ul.Mila Milunovića</w:t>
      </w:r>
      <w:r>
        <w:rPr>
          <w:rFonts w:ascii="Garamond" w:hAnsi="Garamond" w:cs="Arial"/>
          <w:sz w:val="24"/>
        </w:rPr>
        <w:t>, ul.Islandska, ul.Petrogradska.</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IIIb:</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dio prostora naselja Bogdanov kraj, odnosno: Od komleksa Univerzitetski centar (Stari OBOD), ul.Peka Pavlovića, dijelom Lovćenske ul., granicom kat. parcela KO Cetinje I do komleksa Univerzitetski centar (Stari OBOD).</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ulice:Sve ulice u Bogdanovom Kraju i ul. Lovćenska (do starta)</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Zonom III obuhvaćene su obije strane ulica, do građevinske linije objekata, koje se graniče sa IV zonom.</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835235">
        <w:rPr>
          <w:rFonts w:ascii="Garamond" w:hAnsi="Garamond" w:cs="Arial"/>
          <w:b/>
          <w:sz w:val="24"/>
        </w:rPr>
        <w:t>ZONA IV:</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prostor u okviru KO Cetinje I koji nije definisan zonama I, II i III.</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Ova zona obuhvata ulice: sve ulice u Baijcama, dio ul.Jeroslava Čermaka, sve ulice u Humcima - do granice sa Cetinje II,ulice u zoni Crne Grede, ulice na Grudi i Donje Polje kao i Belvederska ulica (od "Bojane" do izlaza prema magistralnom putu Cetinje - Budva)</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b/>
          <w:sz w:val="24"/>
        </w:rPr>
        <w:t xml:space="preserve">     ZONA V:</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prostor servisne zone H-Zagrablje.</w:t>
      </w:r>
    </w:p>
    <w:p w:rsidR="00B402A0" w:rsidRPr="00835235"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b/>
          <w:sz w:val="24"/>
        </w:rPr>
        <w:t xml:space="preserve">     ZONA VI:</w:t>
      </w:r>
    </w:p>
    <w:p w:rsidR="00B402A0" w:rsidRPr="00835235" w:rsidRDefault="00B402A0" w:rsidP="0049684B">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prostore, koji su definisani Planovima naselja gradskog karaktera-R.Crnojevića i Njeguši.</w:t>
      </w:r>
    </w:p>
    <w:p w:rsidR="00B402A0" w:rsidRPr="00914342" w:rsidRDefault="00B402A0" w:rsidP="0049684B">
      <w:pPr>
        <w:autoSpaceDE w:val="0"/>
        <w:autoSpaceDN w:val="0"/>
        <w:adjustRightInd w:val="0"/>
        <w:spacing w:before="40"/>
        <w:jc w:val="both"/>
        <w:rPr>
          <w:rFonts w:ascii="Garamond" w:hAnsi="Garamond" w:cs="Arial"/>
          <w:b/>
          <w:sz w:val="24"/>
        </w:rPr>
      </w:pPr>
      <w:r w:rsidRPr="00835235">
        <w:rPr>
          <w:rFonts w:ascii="Garamond" w:hAnsi="Garamond" w:cs="Arial"/>
          <w:sz w:val="24"/>
        </w:rPr>
        <w:t xml:space="preserve">     </w:t>
      </w:r>
      <w:r w:rsidRPr="00914342">
        <w:rPr>
          <w:rFonts w:ascii="Garamond" w:hAnsi="Garamond" w:cs="Arial"/>
          <w:b/>
          <w:sz w:val="24"/>
        </w:rPr>
        <w:t>ZONA VII:</w:t>
      </w:r>
    </w:p>
    <w:p w:rsidR="00B402A0" w:rsidRDefault="00B402A0" w:rsidP="00876562">
      <w:pPr>
        <w:autoSpaceDE w:val="0"/>
        <w:autoSpaceDN w:val="0"/>
        <w:adjustRightInd w:val="0"/>
        <w:spacing w:before="40"/>
        <w:jc w:val="both"/>
        <w:rPr>
          <w:rFonts w:ascii="Garamond" w:hAnsi="Garamond" w:cs="Arial"/>
          <w:sz w:val="24"/>
        </w:rPr>
      </w:pPr>
      <w:r w:rsidRPr="00835235">
        <w:rPr>
          <w:rFonts w:ascii="Garamond" w:hAnsi="Garamond" w:cs="Arial"/>
          <w:sz w:val="24"/>
        </w:rPr>
        <w:t xml:space="preserve">     Zahvata preostali prostor  Prijestonice Cetinje, koji nije definisan zonama I-VI.</w:t>
      </w:r>
      <w:r w:rsidRPr="00835235">
        <w:rPr>
          <w:rFonts w:ascii="Garamond" w:hAnsi="Garamond"/>
          <w:sz w:val="24"/>
        </w:rPr>
        <w:t xml:space="preserve"> na području Prostornog plana Cetinje.</w:t>
      </w:r>
    </w:p>
    <w:p w:rsidR="00B402A0" w:rsidRPr="00B24662" w:rsidRDefault="00B402A0" w:rsidP="00DF5E7A">
      <w:pPr>
        <w:autoSpaceDE w:val="0"/>
        <w:autoSpaceDN w:val="0"/>
        <w:adjustRightInd w:val="0"/>
        <w:spacing w:before="40"/>
        <w:jc w:val="center"/>
        <w:rPr>
          <w:rFonts w:ascii="Garamond" w:hAnsi="Garamond" w:cs="Arial"/>
          <w:b/>
          <w:sz w:val="24"/>
        </w:rPr>
      </w:pPr>
      <w:r>
        <w:rPr>
          <w:rFonts w:ascii="Garamond" w:hAnsi="Garamond" w:cs="Arial"/>
          <w:b/>
          <w:sz w:val="24"/>
        </w:rPr>
        <w:t>Član 8</w:t>
      </w:r>
    </w:p>
    <w:p w:rsidR="00B402A0" w:rsidRPr="00DF5E7A" w:rsidRDefault="00B402A0" w:rsidP="00DF5E7A">
      <w:pPr>
        <w:shd w:val="clear" w:color="auto" w:fill="FFFFFF"/>
        <w:spacing w:before="120" w:line="240" w:lineRule="exact"/>
        <w:ind w:left="5" w:hanging="5"/>
        <w:jc w:val="both"/>
        <w:rPr>
          <w:rFonts w:ascii="Garamond" w:hAnsi="Garamond"/>
          <w:sz w:val="24"/>
        </w:rPr>
      </w:pPr>
      <w:r>
        <w:rPr>
          <w:rFonts w:ascii="Garamond" w:hAnsi="Garamond"/>
          <w:sz w:val="24"/>
        </w:rPr>
        <w:t xml:space="preserve">Koeficijent opremanja građevinskog zemljišta </w:t>
      </w:r>
      <w:r w:rsidRPr="002414CA">
        <w:rPr>
          <w:rFonts w:ascii="Garamond" w:hAnsi="Garamond"/>
          <w:b/>
          <w:sz w:val="24"/>
        </w:rPr>
        <w:t>K</w:t>
      </w:r>
      <w:r>
        <w:rPr>
          <w:rFonts w:ascii="Garamond" w:hAnsi="Garamond"/>
          <w:b/>
          <w:sz w:val="24"/>
        </w:rPr>
        <w:t>z</w:t>
      </w:r>
      <w:r>
        <w:rPr>
          <w:rFonts w:ascii="Garamond" w:hAnsi="Garamond"/>
          <w:sz w:val="24"/>
        </w:rPr>
        <w:t xml:space="preserve"> po zonama obračunava se po koeficijentima prikazanim u tabeli:</w:t>
      </w:r>
    </w:p>
    <w:p w:rsidR="00B402A0" w:rsidRPr="00835235" w:rsidRDefault="00B402A0" w:rsidP="00A85244">
      <w:pPr>
        <w:autoSpaceDE w:val="0"/>
        <w:autoSpaceDN w:val="0"/>
        <w:adjustRightInd w:val="0"/>
        <w:spacing w:before="40"/>
        <w:rPr>
          <w:rFonts w:ascii="Garamond" w:hAnsi="Garamond"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7"/>
        <w:gridCol w:w="1852"/>
      </w:tblGrid>
      <w:tr w:rsidR="00B402A0" w:rsidRPr="00835235" w:rsidTr="006F2286">
        <w:trPr>
          <w:trHeight w:val="127"/>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Urbanistička zona</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Koeficjent - Kz</w:t>
            </w:r>
          </w:p>
        </w:tc>
      </w:tr>
      <w:tr w:rsidR="00B402A0" w:rsidRPr="00835235" w:rsidTr="006F2286">
        <w:trPr>
          <w:trHeight w:val="190"/>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Ia, Ib, Ic</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1</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II</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0,9</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IIIa, IIIb</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0,8</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IV</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0,7</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V</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0,6</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VI</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0,5</w:t>
            </w:r>
          </w:p>
        </w:tc>
      </w:tr>
      <w:tr w:rsidR="00B402A0" w:rsidRPr="00835235" w:rsidTr="006F2286">
        <w:trPr>
          <w:jc w:val="center"/>
        </w:trPr>
        <w:tc>
          <w:tcPr>
            <w:tcW w:w="2317" w:type="dxa"/>
          </w:tcPr>
          <w:p w:rsidR="00B402A0" w:rsidRPr="006F2286" w:rsidRDefault="00B402A0" w:rsidP="006F2286">
            <w:pPr>
              <w:spacing w:before="120" w:line="240" w:lineRule="exact"/>
              <w:jc w:val="both"/>
              <w:rPr>
                <w:rFonts w:ascii="Garamond" w:hAnsi="Garamond"/>
                <w:b/>
                <w:sz w:val="24"/>
              </w:rPr>
            </w:pPr>
            <w:r w:rsidRPr="006F2286">
              <w:rPr>
                <w:rFonts w:ascii="Garamond" w:hAnsi="Garamond"/>
                <w:b/>
                <w:sz w:val="24"/>
              </w:rPr>
              <w:t>VII</w:t>
            </w:r>
          </w:p>
        </w:tc>
        <w:tc>
          <w:tcPr>
            <w:tcW w:w="1852" w:type="dxa"/>
          </w:tcPr>
          <w:p w:rsidR="00B402A0" w:rsidRPr="006F2286" w:rsidRDefault="00B402A0" w:rsidP="006F2286">
            <w:pPr>
              <w:spacing w:before="120" w:line="240" w:lineRule="exact"/>
              <w:jc w:val="center"/>
              <w:rPr>
                <w:rFonts w:ascii="Garamond" w:hAnsi="Garamond"/>
                <w:b/>
                <w:sz w:val="24"/>
              </w:rPr>
            </w:pPr>
            <w:r w:rsidRPr="006F2286">
              <w:rPr>
                <w:rFonts w:ascii="Garamond" w:hAnsi="Garamond"/>
                <w:b/>
                <w:sz w:val="24"/>
              </w:rPr>
              <w:t>0</w:t>
            </w:r>
          </w:p>
        </w:tc>
      </w:tr>
    </w:tbl>
    <w:p w:rsidR="00B402A0" w:rsidRPr="00835235" w:rsidRDefault="00B402A0" w:rsidP="00657274">
      <w:pPr>
        <w:shd w:val="clear" w:color="auto" w:fill="FFFFFF"/>
        <w:spacing w:before="120" w:line="240" w:lineRule="exact"/>
        <w:jc w:val="both"/>
        <w:rPr>
          <w:rFonts w:ascii="Garamond" w:hAnsi="Garamond"/>
          <w:color w:val="4F81BD"/>
          <w:sz w:val="24"/>
        </w:rPr>
      </w:pPr>
    </w:p>
    <w:p w:rsidR="00B402A0" w:rsidRPr="00914342" w:rsidRDefault="00B402A0">
      <w:pPr>
        <w:shd w:val="clear" w:color="auto" w:fill="FFFFFF"/>
        <w:spacing w:before="120" w:line="240" w:lineRule="exact"/>
        <w:jc w:val="center"/>
        <w:rPr>
          <w:rFonts w:ascii="Garamond" w:hAnsi="Garamond"/>
          <w:b/>
          <w:sz w:val="24"/>
        </w:rPr>
      </w:pPr>
      <w:r>
        <w:rPr>
          <w:rFonts w:ascii="Garamond" w:hAnsi="Garamond"/>
          <w:b/>
          <w:sz w:val="24"/>
        </w:rPr>
        <w:t>Član 9</w:t>
      </w:r>
    </w:p>
    <w:p w:rsidR="00B402A0" w:rsidRDefault="00B402A0">
      <w:pPr>
        <w:shd w:val="clear" w:color="auto" w:fill="FFFFFF"/>
        <w:tabs>
          <w:tab w:val="left" w:pos="0"/>
        </w:tabs>
        <w:spacing w:before="120" w:line="240" w:lineRule="exact"/>
        <w:jc w:val="both"/>
        <w:rPr>
          <w:rFonts w:ascii="Garamond" w:hAnsi="Garamond"/>
          <w:sz w:val="24"/>
        </w:rPr>
      </w:pPr>
      <w:r w:rsidRPr="00835235">
        <w:rPr>
          <w:rFonts w:ascii="Garamond" w:hAnsi="Garamond"/>
          <w:sz w:val="24"/>
        </w:rPr>
        <w:t xml:space="preserve">Prosječni troškovi komunalnog opremanja </w:t>
      </w:r>
      <w:r w:rsidRPr="00835235">
        <w:rPr>
          <w:rFonts w:ascii="Garamond" w:hAnsi="Garamond"/>
          <w:b/>
          <w:sz w:val="24"/>
        </w:rPr>
        <w:t>Pt</w:t>
      </w:r>
      <w:r w:rsidRPr="00835235">
        <w:rPr>
          <w:rFonts w:ascii="Garamond" w:hAnsi="Garamond"/>
          <w:sz w:val="24"/>
        </w:rPr>
        <w:t xml:space="preserve"> na nivou svih zona iznose</w:t>
      </w:r>
      <w:r w:rsidRPr="00B52F6C">
        <w:rPr>
          <w:rFonts w:ascii="Garamond" w:hAnsi="Garamond"/>
          <w:color w:val="auto"/>
          <w:sz w:val="24"/>
        </w:rPr>
        <w:t xml:space="preserve"> </w:t>
      </w:r>
      <w:r w:rsidRPr="00B52F6C">
        <w:rPr>
          <w:rFonts w:ascii="Garamond" w:hAnsi="Garamond"/>
          <w:b/>
          <w:color w:val="auto"/>
          <w:sz w:val="24"/>
        </w:rPr>
        <w:t>40</w:t>
      </w:r>
      <w:r>
        <w:rPr>
          <w:rFonts w:ascii="Garamond" w:hAnsi="Garamond"/>
          <w:b/>
          <w:color w:val="FF0000"/>
          <w:sz w:val="24"/>
        </w:rPr>
        <w:t xml:space="preserve"> </w:t>
      </w:r>
      <w:r w:rsidRPr="00876562">
        <w:rPr>
          <w:rFonts w:ascii="Garamond" w:hAnsi="Garamond"/>
          <w:color w:val="auto"/>
          <w:sz w:val="24"/>
        </w:rPr>
        <w:t>€/m</w:t>
      </w:r>
      <w:r>
        <w:rPr>
          <w:rFonts w:ascii="Garamond" w:hAnsi="Garamond"/>
          <w:color w:val="auto"/>
          <w:sz w:val="24"/>
        </w:rPr>
        <w:t>²</w:t>
      </w:r>
      <w:r w:rsidRPr="00835235">
        <w:rPr>
          <w:rFonts w:ascii="Garamond" w:hAnsi="Garamond"/>
          <w:sz w:val="24"/>
        </w:rPr>
        <w:t xml:space="preserve">. </w:t>
      </w:r>
    </w:p>
    <w:p w:rsidR="00B402A0" w:rsidRPr="00835235" w:rsidRDefault="00B402A0">
      <w:pPr>
        <w:shd w:val="clear" w:color="auto" w:fill="FFFFFF"/>
        <w:tabs>
          <w:tab w:val="left" w:pos="0"/>
        </w:tabs>
        <w:spacing w:before="120" w:line="240" w:lineRule="exact"/>
        <w:jc w:val="both"/>
        <w:rPr>
          <w:rFonts w:ascii="Garamond" w:hAnsi="Garamond"/>
          <w:sz w:val="24"/>
        </w:rPr>
      </w:pPr>
      <w:r>
        <w:rPr>
          <w:rFonts w:ascii="Garamond" w:hAnsi="Garamond"/>
          <w:sz w:val="24"/>
        </w:rPr>
        <w:t>Prosječni troškovi komunalnog opremanja ubuduće donosiće se na osnovu planskih pokazatelja u zahvatu svih zona i Programa.</w:t>
      </w:r>
    </w:p>
    <w:p w:rsidR="00B402A0" w:rsidRDefault="00B402A0">
      <w:pPr>
        <w:shd w:val="clear" w:color="auto" w:fill="FFFFFF"/>
        <w:tabs>
          <w:tab w:val="left" w:pos="0"/>
        </w:tabs>
        <w:spacing w:before="120" w:line="240" w:lineRule="exact"/>
        <w:jc w:val="both"/>
        <w:rPr>
          <w:rFonts w:ascii="Garamond" w:hAnsi="Garamond"/>
          <w:b/>
          <w:color w:val="FF0000"/>
          <w:sz w:val="24"/>
        </w:rPr>
      </w:pPr>
      <w:r w:rsidRPr="00914342">
        <w:rPr>
          <w:rFonts w:ascii="Garamond" w:hAnsi="Garamond"/>
          <w:b/>
          <w:sz w:val="24"/>
        </w:rPr>
        <w:t xml:space="preserve">N = Pt x P x Kz </w:t>
      </w:r>
    </w:p>
    <w:p w:rsidR="00B402A0" w:rsidRPr="00835235" w:rsidRDefault="00B402A0">
      <w:pPr>
        <w:shd w:val="clear" w:color="auto" w:fill="FFFFFF"/>
        <w:tabs>
          <w:tab w:val="left" w:pos="0"/>
        </w:tabs>
        <w:spacing w:before="120" w:line="240" w:lineRule="exact"/>
        <w:jc w:val="both"/>
        <w:rPr>
          <w:rFonts w:ascii="Garamond" w:hAnsi="Garamond"/>
          <w:sz w:val="24"/>
        </w:rPr>
      </w:pPr>
      <w:r w:rsidRPr="00835235">
        <w:rPr>
          <w:rFonts w:ascii="Garamond" w:hAnsi="Garamond"/>
          <w:sz w:val="24"/>
        </w:rPr>
        <w:t>N</w:t>
      </w:r>
      <w:r>
        <w:rPr>
          <w:rFonts w:ascii="Garamond" w:hAnsi="Garamond"/>
          <w:sz w:val="24"/>
        </w:rPr>
        <w:t xml:space="preserve"> - naknada za komunalno oprem</w:t>
      </w:r>
      <w:r w:rsidRPr="00835235">
        <w:rPr>
          <w:rFonts w:ascii="Garamond" w:hAnsi="Garamond"/>
          <w:sz w:val="24"/>
        </w:rPr>
        <w:t>anje,</w:t>
      </w:r>
    </w:p>
    <w:p w:rsidR="00B402A0" w:rsidRDefault="00B402A0">
      <w:pPr>
        <w:shd w:val="clear" w:color="auto" w:fill="FFFFFF"/>
        <w:tabs>
          <w:tab w:val="left" w:pos="0"/>
        </w:tabs>
        <w:spacing w:before="120" w:line="240" w:lineRule="exact"/>
        <w:jc w:val="both"/>
        <w:rPr>
          <w:rFonts w:ascii="Garamond" w:hAnsi="Garamond"/>
          <w:sz w:val="24"/>
        </w:rPr>
      </w:pPr>
      <w:r w:rsidRPr="00835235">
        <w:rPr>
          <w:rFonts w:ascii="Garamond" w:hAnsi="Garamond"/>
          <w:sz w:val="24"/>
        </w:rPr>
        <w:t>Pt - Prosječni troškovi komunalnog opremanja,</w:t>
      </w:r>
    </w:p>
    <w:p w:rsidR="00B402A0" w:rsidRDefault="00B402A0">
      <w:pPr>
        <w:shd w:val="clear" w:color="auto" w:fill="FFFFFF"/>
        <w:tabs>
          <w:tab w:val="left" w:pos="0"/>
        </w:tabs>
        <w:spacing w:before="120" w:line="240" w:lineRule="exact"/>
        <w:jc w:val="both"/>
        <w:rPr>
          <w:rFonts w:ascii="Garamond" w:hAnsi="Garamond"/>
          <w:sz w:val="24"/>
        </w:rPr>
      </w:pPr>
      <w:r>
        <w:rPr>
          <w:rFonts w:ascii="Garamond" w:hAnsi="Garamond"/>
          <w:sz w:val="24"/>
        </w:rPr>
        <w:t>P-  Površina</w:t>
      </w:r>
      <w:r w:rsidRPr="00701966">
        <w:rPr>
          <w:rFonts w:ascii="Garamond" w:hAnsi="Garamond"/>
          <w:sz w:val="24"/>
        </w:rPr>
        <w:t xml:space="preserve"> </w:t>
      </w:r>
    </w:p>
    <w:p w:rsidR="00B402A0" w:rsidRDefault="00B402A0">
      <w:pPr>
        <w:shd w:val="clear" w:color="auto" w:fill="FFFFFF"/>
        <w:tabs>
          <w:tab w:val="left" w:pos="0"/>
        </w:tabs>
        <w:spacing w:before="120" w:line="240" w:lineRule="exact"/>
        <w:jc w:val="both"/>
        <w:rPr>
          <w:rFonts w:ascii="Garamond" w:hAnsi="Garamond"/>
          <w:sz w:val="24"/>
        </w:rPr>
      </w:pPr>
      <w:r>
        <w:rPr>
          <w:rFonts w:ascii="Garamond" w:hAnsi="Garamond"/>
          <w:sz w:val="24"/>
        </w:rPr>
        <w:t>Kz -</w:t>
      </w:r>
      <w:r w:rsidRPr="00835235">
        <w:rPr>
          <w:rFonts w:ascii="Garamond" w:hAnsi="Garamond"/>
          <w:sz w:val="24"/>
        </w:rPr>
        <w:t xml:space="preserve"> Koeficjent zone,</w:t>
      </w:r>
    </w:p>
    <w:p w:rsidR="00B402A0" w:rsidRPr="00835235" w:rsidRDefault="00B402A0">
      <w:pPr>
        <w:shd w:val="clear" w:color="auto" w:fill="FFFFFF"/>
        <w:tabs>
          <w:tab w:val="left" w:pos="0"/>
        </w:tabs>
        <w:spacing w:before="120" w:line="240" w:lineRule="exact"/>
        <w:jc w:val="both"/>
        <w:rPr>
          <w:rFonts w:ascii="Garamond" w:hAnsi="Garamond"/>
          <w:sz w:val="24"/>
        </w:rPr>
      </w:pPr>
    </w:p>
    <w:p w:rsidR="00B402A0" w:rsidRPr="00045A19" w:rsidRDefault="00B402A0" w:rsidP="00045A19">
      <w:pPr>
        <w:autoSpaceDE w:val="0"/>
        <w:autoSpaceDN w:val="0"/>
        <w:adjustRightInd w:val="0"/>
        <w:spacing w:before="40"/>
        <w:jc w:val="center"/>
        <w:rPr>
          <w:rFonts w:ascii="Garamond" w:hAnsi="Garamond" w:cs="Arial"/>
          <w:b/>
          <w:bCs/>
          <w:sz w:val="24"/>
        </w:rPr>
      </w:pPr>
      <w:r w:rsidRPr="00835235">
        <w:rPr>
          <w:rFonts w:ascii="Garamond" w:hAnsi="Garamond" w:cs="Arial"/>
          <w:b/>
          <w:bCs/>
          <w:sz w:val="24"/>
        </w:rPr>
        <w:t xml:space="preserve">Član </w:t>
      </w:r>
      <w:r>
        <w:rPr>
          <w:rFonts w:ascii="Garamond" w:hAnsi="Garamond" w:cs="Arial"/>
          <w:b/>
          <w:bCs/>
          <w:sz w:val="24"/>
        </w:rPr>
        <w:t>10</w:t>
      </w:r>
    </w:p>
    <w:p w:rsidR="00B402A0" w:rsidRPr="001B31F8" w:rsidRDefault="00B402A0" w:rsidP="00AE6386">
      <w:pPr>
        <w:autoSpaceDE w:val="0"/>
        <w:autoSpaceDN w:val="0"/>
        <w:adjustRightInd w:val="0"/>
        <w:spacing w:before="40"/>
        <w:jc w:val="both"/>
        <w:rPr>
          <w:rFonts w:ascii="Garamond" w:hAnsi="Garamond" w:cs="Arial"/>
          <w:color w:val="FF0000"/>
          <w:sz w:val="24"/>
        </w:rPr>
      </w:pPr>
      <w:r w:rsidRPr="00835235">
        <w:rPr>
          <w:rFonts w:ascii="Garamond" w:hAnsi="Garamond" w:cs="Arial"/>
          <w:sz w:val="24"/>
        </w:rPr>
        <w:t xml:space="preserve">     Visina naknade za komunalno opremanje građevinskog zemljišta</w:t>
      </w:r>
      <w:r>
        <w:rPr>
          <w:rFonts w:ascii="Garamond" w:hAnsi="Garamond" w:cs="Arial"/>
          <w:sz w:val="24"/>
        </w:rPr>
        <w:t xml:space="preserve"> </w:t>
      </w:r>
      <w:r w:rsidRPr="00083265">
        <w:rPr>
          <w:rFonts w:ascii="Garamond" w:hAnsi="Garamond" w:cs="Arial"/>
          <w:color w:val="auto"/>
          <w:sz w:val="24"/>
        </w:rPr>
        <w:t>utvrđena u skladu sa ovom Odlukom umanjuje se:</w:t>
      </w:r>
    </w:p>
    <w:p w:rsidR="00B402A0" w:rsidRPr="00B52F6C" w:rsidRDefault="00B402A0" w:rsidP="00AE6386">
      <w:pPr>
        <w:pStyle w:val="ListParagraph"/>
        <w:numPr>
          <w:ilvl w:val="0"/>
          <w:numId w:val="5"/>
        </w:numPr>
        <w:autoSpaceDE w:val="0"/>
        <w:autoSpaceDN w:val="0"/>
        <w:adjustRightInd w:val="0"/>
        <w:spacing w:before="40"/>
        <w:jc w:val="both"/>
        <w:rPr>
          <w:rFonts w:ascii="Garamond" w:hAnsi="Garamond" w:cs="Arial"/>
          <w:color w:val="FF0000"/>
          <w:sz w:val="24"/>
        </w:rPr>
      </w:pPr>
      <w:r>
        <w:rPr>
          <w:rFonts w:ascii="Garamond" w:hAnsi="Garamond" w:cs="Arial"/>
          <w:sz w:val="24"/>
        </w:rPr>
        <w:t>Za p</w:t>
      </w:r>
      <w:r w:rsidRPr="00835235">
        <w:rPr>
          <w:rFonts w:ascii="Garamond" w:hAnsi="Garamond" w:cs="Arial"/>
          <w:sz w:val="24"/>
        </w:rPr>
        <w:t>rivremene objekte</w:t>
      </w:r>
      <w:r w:rsidRPr="00B52F6C">
        <w:rPr>
          <w:rFonts w:ascii="Garamond" w:hAnsi="Garamond" w:cs="Arial"/>
          <w:color w:val="auto"/>
          <w:sz w:val="24"/>
        </w:rPr>
        <w:t xml:space="preserve"> </w:t>
      </w:r>
      <w:r>
        <w:rPr>
          <w:rFonts w:ascii="Garamond" w:hAnsi="Garamond" w:cs="Arial"/>
          <w:b/>
          <w:color w:val="auto"/>
          <w:sz w:val="24"/>
        </w:rPr>
        <w:t xml:space="preserve"> </w:t>
      </w:r>
      <w:r w:rsidRPr="00083265">
        <w:rPr>
          <w:rFonts w:ascii="Garamond" w:hAnsi="Garamond" w:cs="Arial"/>
          <w:color w:val="auto"/>
          <w:sz w:val="24"/>
        </w:rPr>
        <w:t>za</w:t>
      </w:r>
      <w:r>
        <w:rPr>
          <w:rFonts w:ascii="Garamond" w:hAnsi="Garamond" w:cs="Arial"/>
          <w:b/>
          <w:color w:val="auto"/>
          <w:sz w:val="24"/>
        </w:rPr>
        <w:t xml:space="preserve"> </w:t>
      </w:r>
      <w:r w:rsidRPr="00A43782">
        <w:rPr>
          <w:rFonts w:ascii="Garamond" w:hAnsi="Garamond" w:cs="Arial"/>
          <w:color w:val="auto"/>
          <w:sz w:val="24"/>
        </w:rPr>
        <w:t>50%</w:t>
      </w:r>
      <w:r w:rsidRPr="00835235">
        <w:rPr>
          <w:rFonts w:ascii="Garamond" w:hAnsi="Garamond" w:cs="Arial"/>
          <w:sz w:val="24"/>
        </w:rPr>
        <w:t xml:space="preserve"> </w:t>
      </w:r>
      <w:r>
        <w:rPr>
          <w:rFonts w:ascii="Garamond" w:hAnsi="Garamond" w:cs="Arial"/>
          <w:sz w:val="24"/>
        </w:rPr>
        <w:t>,</w:t>
      </w:r>
    </w:p>
    <w:p w:rsidR="00B402A0" w:rsidRPr="00083265" w:rsidRDefault="00B402A0" w:rsidP="00AE6386">
      <w:pPr>
        <w:pStyle w:val="ListParagraph"/>
        <w:numPr>
          <w:ilvl w:val="0"/>
          <w:numId w:val="5"/>
        </w:numPr>
        <w:autoSpaceDE w:val="0"/>
        <w:autoSpaceDN w:val="0"/>
        <w:adjustRightInd w:val="0"/>
        <w:spacing w:before="40"/>
        <w:jc w:val="both"/>
        <w:rPr>
          <w:rFonts w:ascii="Garamond" w:hAnsi="Garamond" w:cs="Arial"/>
          <w:sz w:val="24"/>
        </w:rPr>
      </w:pPr>
      <w:r w:rsidRPr="00083265">
        <w:rPr>
          <w:rFonts w:ascii="Garamond" w:hAnsi="Garamond" w:cs="Arial"/>
          <w:sz w:val="24"/>
        </w:rPr>
        <w:t xml:space="preserve">Za rekonstrukciju objekta u postojećim gabaritima </w:t>
      </w:r>
      <w:r w:rsidRPr="00083265">
        <w:rPr>
          <w:rFonts w:ascii="Garamond" w:hAnsi="Garamond" w:cs="Arial"/>
          <w:color w:val="auto"/>
          <w:sz w:val="24"/>
        </w:rPr>
        <w:t>za 80 %</w:t>
      </w:r>
      <w:r>
        <w:rPr>
          <w:rFonts w:ascii="Garamond" w:hAnsi="Garamond" w:cs="Arial"/>
          <w:color w:val="auto"/>
          <w:sz w:val="24"/>
        </w:rPr>
        <w:t>,</w:t>
      </w:r>
      <w:r w:rsidRPr="00083265">
        <w:rPr>
          <w:rFonts w:ascii="Garamond" w:hAnsi="Garamond" w:cs="Arial"/>
          <w:b/>
          <w:color w:val="00B050"/>
          <w:sz w:val="24"/>
        </w:rPr>
        <w:t xml:space="preserve"> </w:t>
      </w:r>
    </w:p>
    <w:p w:rsidR="00B402A0" w:rsidRPr="00083265" w:rsidRDefault="00B402A0" w:rsidP="00AE6386">
      <w:pPr>
        <w:pStyle w:val="ListParagraph"/>
        <w:numPr>
          <w:ilvl w:val="0"/>
          <w:numId w:val="5"/>
        </w:numPr>
        <w:autoSpaceDE w:val="0"/>
        <w:autoSpaceDN w:val="0"/>
        <w:adjustRightInd w:val="0"/>
        <w:spacing w:before="40"/>
        <w:jc w:val="both"/>
        <w:rPr>
          <w:rFonts w:ascii="Garamond" w:hAnsi="Garamond" w:cs="Arial"/>
          <w:sz w:val="24"/>
        </w:rPr>
      </w:pPr>
      <w:r w:rsidRPr="00083265">
        <w:rPr>
          <w:rFonts w:ascii="Garamond" w:hAnsi="Garamond" w:cs="Arial"/>
          <w:color w:val="auto"/>
          <w:sz w:val="24"/>
        </w:rPr>
        <w:t>Za</w:t>
      </w:r>
      <w:r w:rsidRPr="00083265">
        <w:rPr>
          <w:rFonts w:ascii="Garamond" w:hAnsi="Garamond" w:cs="Arial"/>
          <w:sz w:val="24"/>
        </w:rPr>
        <w:t xml:space="preserve"> rekonstrukciju sa dogradnjom i nadgradnjom,  za novodobijeni prostor naknada se plaća isto kao i za izgradnju objekta, </w:t>
      </w:r>
    </w:p>
    <w:p w:rsidR="00B402A0" w:rsidRPr="00B52F6C" w:rsidRDefault="00B402A0" w:rsidP="00083265">
      <w:pPr>
        <w:pStyle w:val="ListParagraph"/>
        <w:numPr>
          <w:ilvl w:val="0"/>
          <w:numId w:val="5"/>
        </w:numPr>
        <w:autoSpaceDE w:val="0"/>
        <w:autoSpaceDN w:val="0"/>
        <w:adjustRightInd w:val="0"/>
        <w:spacing w:before="40"/>
        <w:jc w:val="both"/>
        <w:rPr>
          <w:rFonts w:ascii="Garamond" w:hAnsi="Garamond" w:cs="Arial"/>
          <w:color w:val="FF0000"/>
          <w:sz w:val="24"/>
        </w:rPr>
      </w:pPr>
      <w:r w:rsidRPr="00083265">
        <w:rPr>
          <w:rFonts w:ascii="Garamond" w:hAnsi="Garamond" w:cs="Arial"/>
          <w:color w:val="auto"/>
          <w:sz w:val="24"/>
        </w:rPr>
        <w:t xml:space="preserve">Za </w:t>
      </w:r>
      <w:r w:rsidRPr="00054048">
        <w:rPr>
          <w:rFonts w:ascii="Garamond" w:hAnsi="Garamond" w:cs="Arial"/>
          <w:sz w:val="24"/>
        </w:rPr>
        <w:t xml:space="preserve">pretvaranje posebnih i zajedničkih djelova zgrade u </w:t>
      </w:r>
      <w:r w:rsidRPr="00083265">
        <w:rPr>
          <w:rFonts w:ascii="Garamond" w:hAnsi="Garamond" w:cs="Arial"/>
          <w:color w:val="auto"/>
          <w:sz w:val="24"/>
        </w:rPr>
        <w:t>stambeni ili poslovni</w:t>
      </w:r>
      <w:r w:rsidRPr="00054048">
        <w:rPr>
          <w:rFonts w:ascii="Garamond" w:hAnsi="Garamond" w:cs="Arial"/>
          <w:sz w:val="24"/>
        </w:rPr>
        <w:t xml:space="preserve"> </w:t>
      </w:r>
      <w:r>
        <w:rPr>
          <w:rFonts w:ascii="Garamond" w:hAnsi="Garamond" w:cs="Arial"/>
          <w:sz w:val="24"/>
        </w:rPr>
        <w:t xml:space="preserve">prostor za 50 %, </w:t>
      </w:r>
    </w:p>
    <w:p w:rsidR="00B402A0" w:rsidRPr="00B52F6C" w:rsidRDefault="00B402A0" w:rsidP="00AE6386">
      <w:pPr>
        <w:pStyle w:val="ListParagraph"/>
        <w:numPr>
          <w:ilvl w:val="0"/>
          <w:numId w:val="5"/>
        </w:numPr>
        <w:autoSpaceDE w:val="0"/>
        <w:autoSpaceDN w:val="0"/>
        <w:adjustRightInd w:val="0"/>
        <w:spacing w:before="40"/>
        <w:jc w:val="both"/>
        <w:rPr>
          <w:rFonts w:ascii="Garamond" w:hAnsi="Garamond" w:cs="Arial"/>
          <w:color w:val="auto"/>
          <w:sz w:val="24"/>
        </w:rPr>
      </w:pPr>
      <w:r>
        <w:rPr>
          <w:rFonts w:ascii="Garamond" w:hAnsi="Garamond" w:cs="Arial"/>
          <w:color w:val="auto"/>
          <w:sz w:val="24"/>
        </w:rPr>
        <w:t xml:space="preserve">Za </w:t>
      </w:r>
      <w:r w:rsidRPr="00B52F6C">
        <w:rPr>
          <w:rFonts w:ascii="Garamond" w:hAnsi="Garamond" w:cs="Arial"/>
          <w:color w:val="auto"/>
          <w:sz w:val="24"/>
        </w:rPr>
        <w:t>pretvaranje privremenog u trajni objekat plaća se naknada u visini razlike naknade izmedju trajnog i privremenog objekta, zavisno od namjene (poslovni il</w:t>
      </w:r>
      <w:r>
        <w:rPr>
          <w:rFonts w:ascii="Garamond" w:hAnsi="Garamond" w:cs="Arial"/>
          <w:color w:val="auto"/>
          <w:sz w:val="24"/>
        </w:rPr>
        <w:t>i</w:t>
      </w:r>
      <w:r w:rsidRPr="00B52F6C">
        <w:rPr>
          <w:rFonts w:ascii="Garamond" w:hAnsi="Garamond" w:cs="Arial"/>
          <w:color w:val="auto"/>
          <w:sz w:val="24"/>
        </w:rPr>
        <w:t xml:space="preserve"> stambeni),</w:t>
      </w:r>
    </w:p>
    <w:p w:rsidR="00B402A0" w:rsidRPr="00083265" w:rsidRDefault="00B402A0" w:rsidP="00AE6386">
      <w:pPr>
        <w:pStyle w:val="ListParagraph"/>
        <w:numPr>
          <w:ilvl w:val="0"/>
          <w:numId w:val="4"/>
        </w:numPr>
        <w:autoSpaceDE w:val="0"/>
        <w:autoSpaceDN w:val="0"/>
        <w:adjustRightInd w:val="0"/>
        <w:spacing w:before="40"/>
        <w:jc w:val="both"/>
        <w:rPr>
          <w:rFonts w:ascii="Garamond" w:hAnsi="Garamond" w:cs="Arial"/>
          <w:sz w:val="24"/>
        </w:rPr>
      </w:pPr>
      <w:r w:rsidRPr="00083265">
        <w:rPr>
          <w:rFonts w:ascii="Garamond" w:hAnsi="Garamond" w:cs="Arial"/>
          <w:sz w:val="24"/>
        </w:rPr>
        <w:t xml:space="preserve">Kada investitor ruši postojeći objekat naknada se obračunava za razliku u površini u punom iznosu, a za površinu srušenog objekta </w:t>
      </w:r>
      <w:r w:rsidRPr="00083265">
        <w:rPr>
          <w:rFonts w:ascii="Garamond" w:hAnsi="Garamond" w:cs="Arial"/>
          <w:color w:val="auto"/>
          <w:sz w:val="24"/>
        </w:rPr>
        <w:t>umanjeno za 80%</w:t>
      </w:r>
      <w:r>
        <w:rPr>
          <w:rFonts w:ascii="Garamond" w:hAnsi="Garamond" w:cs="Arial"/>
          <w:color w:val="auto"/>
          <w:sz w:val="24"/>
        </w:rPr>
        <w:t>,</w:t>
      </w:r>
      <w:r w:rsidRPr="00083265">
        <w:rPr>
          <w:rFonts w:ascii="Garamond" w:hAnsi="Garamond" w:cs="Arial"/>
          <w:sz w:val="24"/>
        </w:rPr>
        <w:t xml:space="preserve"> </w:t>
      </w:r>
    </w:p>
    <w:p w:rsidR="00B402A0" w:rsidRPr="00083265" w:rsidRDefault="00B402A0" w:rsidP="00AE6386">
      <w:pPr>
        <w:pStyle w:val="ListParagraph"/>
        <w:numPr>
          <w:ilvl w:val="0"/>
          <w:numId w:val="4"/>
        </w:numPr>
        <w:autoSpaceDE w:val="0"/>
        <w:autoSpaceDN w:val="0"/>
        <w:adjustRightInd w:val="0"/>
        <w:spacing w:before="40"/>
        <w:jc w:val="both"/>
        <w:rPr>
          <w:rFonts w:ascii="Garamond" w:hAnsi="Garamond" w:cs="Arial"/>
          <w:sz w:val="24"/>
        </w:rPr>
      </w:pPr>
      <w:r w:rsidRPr="00083265">
        <w:rPr>
          <w:rFonts w:ascii="Garamond" w:hAnsi="Garamond" w:cs="Arial"/>
          <w:sz w:val="24"/>
        </w:rPr>
        <w:t>Za objekte koji nijesu obuhvaćeni nijednom od navedenih namjena obračun naknade će se vršiti analogijom sa jednom od definisanih vrsta objekata.</w:t>
      </w:r>
    </w:p>
    <w:p w:rsidR="00B402A0" w:rsidRDefault="00B402A0" w:rsidP="00AE6386">
      <w:pPr>
        <w:numPr>
          <w:ilvl w:val="0"/>
          <w:numId w:val="6"/>
        </w:numPr>
        <w:shd w:val="clear" w:color="auto" w:fill="FFFFFF"/>
        <w:spacing w:before="120" w:line="240" w:lineRule="exact"/>
        <w:ind w:left="993" w:hanging="284"/>
        <w:jc w:val="both"/>
        <w:rPr>
          <w:rFonts w:ascii="Garamond" w:hAnsi="Garamond"/>
          <w:sz w:val="24"/>
        </w:rPr>
      </w:pPr>
      <w:r>
        <w:rPr>
          <w:rFonts w:ascii="Garamond" w:hAnsi="Garamond"/>
          <w:sz w:val="24"/>
        </w:rPr>
        <w:t>Za i</w:t>
      </w:r>
      <w:r w:rsidRPr="00835235">
        <w:rPr>
          <w:rFonts w:ascii="Garamond" w:hAnsi="Garamond"/>
          <w:sz w:val="24"/>
        </w:rPr>
        <w:t xml:space="preserve">znos od 100 </w:t>
      </w:r>
      <w:r>
        <w:rPr>
          <w:rFonts w:ascii="Garamond" w:hAnsi="Garamond"/>
          <w:sz w:val="24"/>
        </w:rPr>
        <w:t>eura po 1m²</w:t>
      </w:r>
      <w:r w:rsidRPr="00835235">
        <w:rPr>
          <w:rFonts w:ascii="Garamond" w:hAnsi="Garamond"/>
          <w:sz w:val="24"/>
        </w:rPr>
        <w:t xml:space="preserve"> solarnog kolektora odnosno panela</w:t>
      </w:r>
      <w:r>
        <w:rPr>
          <w:rFonts w:ascii="Garamond" w:hAnsi="Garamond"/>
          <w:sz w:val="24"/>
        </w:rPr>
        <w:t>,</w:t>
      </w:r>
      <w:r w:rsidRPr="00835235">
        <w:rPr>
          <w:rFonts w:ascii="Garamond" w:hAnsi="Garamond"/>
          <w:sz w:val="24"/>
        </w:rPr>
        <w:t xml:space="preserve"> u</w:t>
      </w:r>
      <w:r>
        <w:rPr>
          <w:rFonts w:ascii="Garamond" w:hAnsi="Garamond"/>
          <w:sz w:val="24"/>
        </w:rPr>
        <w:t xml:space="preserve"> </w:t>
      </w:r>
      <w:r w:rsidRPr="00835235">
        <w:rPr>
          <w:rFonts w:ascii="Garamond" w:hAnsi="Garamond"/>
          <w:sz w:val="24"/>
        </w:rPr>
        <w:t xml:space="preserve">objektima koji sisteme sa sunčevom energijom koriste za grijanje sanitarne vode, grijanje prostora i hlađenje prostora. </w:t>
      </w:r>
    </w:p>
    <w:p w:rsidR="00B402A0" w:rsidRPr="00DD51EE" w:rsidRDefault="00B402A0" w:rsidP="0082578C">
      <w:pPr>
        <w:widowControl/>
        <w:autoSpaceDE w:val="0"/>
        <w:autoSpaceDN w:val="0"/>
        <w:adjustRightInd w:val="0"/>
        <w:ind w:left="993"/>
        <w:jc w:val="both"/>
        <w:rPr>
          <w:rFonts w:ascii="Garamond" w:hAnsi="Garamond"/>
          <w:color w:val="auto"/>
          <w:sz w:val="24"/>
        </w:rPr>
      </w:pPr>
      <w:r>
        <w:rPr>
          <w:rFonts w:ascii="Garamond" w:hAnsi="Garamond"/>
          <w:sz w:val="24"/>
        </w:rPr>
        <w:t>- Za podzemne</w:t>
      </w:r>
      <w:r w:rsidRPr="008F4D63">
        <w:rPr>
          <w:rFonts w:ascii="Garamond" w:hAnsi="Garamond"/>
          <w:sz w:val="24"/>
        </w:rPr>
        <w:t xml:space="preserve"> i nadzemne </w:t>
      </w:r>
      <w:r>
        <w:rPr>
          <w:rFonts w:ascii="Garamond" w:hAnsi="Garamond"/>
          <w:sz w:val="24"/>
        </w:rPr>
        <w:t xml:space="preserve"> </w:t>
      </w:r>
      <w:r w:rsidRPr="008F4D63">
        <w:rPr>
          <w:rFonts w:ascii="Garamond" w:hAnsi="Garamond"/>
          <w:sz w:val="24"/>
        </w:rPr>
        <w:t>garaže</w:t>
      </w:r>
      <w:r>
        <w:rPr>
          <w:rFonts w:ascii="Garamond" w:hAnsi="Garamond"/>
          <w:sz w:val="24"/>
        </w:rPr>
        <w:t xml:space="preserve"> u objektu, za </w:t>
      </w:r>
      <w:r w:rsidRPr="00B52F6C">
        <w:rPr>
          <w:rFonts w:ascii="Garamond" w:hAnsi="Garamond"/>
          <w:color w:val="auto"/>
          <w:sz w:val="24"/>
        </w:rPr>
        <w:t>60%</w:t>
      </w:r>
      <w:r>
        <w:rPr>
          <w:rFonts w:ascii="Garamond" w:hAnsi="Garamond"/>
          <w:sz w:val="24"/>
        </w:rPr>
        <w:t xml:space="preserve"> u odnosu na visinu naknade </w:t>
      </w:r>
      <w:r w:rsidRPr="00083265">
        <w:rPr>
          <w:rFonts w:ascii="Garamond" w:hAnsi="Garamond"/>
          <w:color w:val="auto"/>
          <w:sz w:val="24"/>
        </w:rPr>
        <w:t>za izgradnju</w:t>
      </w:r>
      <w:r>
        <w:rPr>
          <w:rFonts w:ascii="Garamond" w:hAnsi="Garamond"/>
          <w:color w:val="auto"/>
          <w:sz w:val="24"/>
        </w:rPr>
        <w:t>,</w:t>
      </w:r>
    </w:p>
    <w:p w:rsidR="00B402A0" w:rsidRPr="00083265" w:rsidRDefault="00B402A0" w:rsidP="001F1599">
      <w:pPr>
        <w:widowControl/>
        <w:autoSpaceDE w:val="0"/>
        <w:autoSpaceDN w:val="0"/>
        <w:adjustRightInd w:val="0"/>
        <w:ind w:left="993"/>
        <w:rPr>
          <w:rFonts w:ascii="Garamond" w:hAnsi="Garamond"/>
          <w:color w:val="auto"/>
          <w:sz w:val="24"/>
        </w:rPr>
      </w:pPr>
      <w:r w:rsidRPr="001F1599">
        <w:rPr>
          <w:rFonts w:ascii="Garamond" w:hAnsi="Garamond"/>
          <w:color w:val="00B050"/>
          <w:sz w:val="24"/>
        </w:rPr>
        <w:t>-</w:t>
      </w:r>
      <w:r w:rsidRPr="00083265">
        <w:rPr>
          <w:rFonts w:ascii="Garamond" w:hAnsi="Garamond"/>
          <w:color w:val="auto"/>
          <w:sz w:val="24"/>
        </w:rPr>
        <w:t>Za objekte namjenjene za proizvodnju, preradu ili skladištenje umanjuje se za 70%</w:t>
      </w:r>
      <w:r>
        <w:rPr>
          <w:rFonts w:ascii="Garamond" w:hAnsi="Garamond"/>
          <w:color w:val="auto"/>
          <w:sz w:val="24"/>
        </w:rPr>
        <w:t>,</w:t>
      </w:r>
    </w:p>
    <w:p w:rsidR="00B402A0" w:rsidRPr="00083265" w:rsidRDefault="00B402A0" w:rsidP="001F1599">
      <w:pPr>
        <w:widowControl/>
        <w:autoSpaceDE w:val="0"/>
        <w:autoSpaceDN w:val="0"/>
        <w:adjustRightInd w:val="0"/>
        <w:ind w:firstLine="993"/>
        <w:rPr>
          <w:rFonts w:ascii="Garamond" w:hAnsi="Garamond"/>
          <w:color w:val="auto"/>
          <w:sz w:val="24"/>
        </w:rPr>
      </w:pPr>
      <w:r w:rsidRPr="00083265">
        <w:rPr>
          <w:rFonts w:ascii="Garamond" w:hAnsi="Garamond"/>
          <w:color w:val="auto"/>
          <w:sz w:val="24"/>
        </w:rPr>
        <w:t>-</w:t>
      </w:r>
      <w:r>
        <w:rPr>
          <w:rFonts w:ascii="Garamond" w:hAnsi="Garamond"/>
          <w:color w:val="auto"/>
          <w:sz w:val="24"/>
        </w:rPr>
        <w:t xml:space="preserve">Za </w:t>
      </w:r>
      <w:r w:rsidRPr="00083265">
        <w:rPr>
          <w:rFonts w:ascii="Garamond" w:hAnsi="Garamond"/>
          <w:color w:val="auto"/>
          <w:sz w:val="24"/>
        </w:rPr>
        <w:t>otvorene prostore na parceli koja je projektovana za obavljanje djelatnosti</w:t>
      </w:r>
    </w:p>
    <w:p w:rsidR="00B402A0" w:rsidRPr="00083265" w:rsidRDefault="00B402A0" w:rsidP="001F1599">
      <w:pPr>
        <w:widowControl/>
        <w:autoSpaceDE w:val="0"/>
        <w:autoSpaceDN w:val="0"/>
        <w:adjustRightInd w:val="0"/>
        <w:ind w:firstLine="993"/>
        <w:rPr>
          <w:rFonts w:ascii="Garamond" w:hAnsi="Garamond"/>
          <w:color w:val="auto"/>
          <w:sz w:val="24"/>
        </w:rPr>
      </w:pPr>
      <w:r w:rsidRPr="00083265">
        <w:rPr>
          <w:rFonts w:ascii="Garamond" w:hAnsi="Garamond"/>
          <w:color w:val="auto"/>
          <w:sz w:val="24"/>
        </w:rPr>
        <w:t>za 80 %</w:t>
      </w:r>
      <w:r>
        <w:rPr>
          <w:rFonts w:ascii="Garamond" w:hAnsi="Garamond"/>
          <w:color w:val="auto"/>
          <w:sz w:val="24"/>
        </w:rPr>
        <w:t>,</w:t>
      </w:r>
    </w:p>
    <w:p w:rsidR="00B402A0" w:rsidRPr="00083265" w:rsidRDefault="00B402A0" w:rsidP="001F1599">
      <w:pPr>
        <w:widowControl/>
        <w:autoSpaceDE w:val="0"/>
        <w:autoSpaceDN w:val="0"/>
        <w:adjustRightInd w:val="0"/>
        <w:ind w:firstLine="993"/>
        <w:rPr>
          <w:rFonts w:ascii="Garamond" w:hAnsi="Garamond"/>
          <w:color w:val="auto"/>
          <w:sz w:val="24"/>
        </w:rPr>
      </w:pPr>
      <w:r w:rsidRPr="00083265">
        <w:rPr>
          <w:rFonts w:ascii="Garamond" w:hAnsi="Garamond"/>
          <w:color w:val="auto"/>
          <w:sz w:val="24"/>
        </w:rPr>
        <w:t>-primarne ugostiteljske objekte iz čl. 90 Zakona o turizmu za 75%</w:t>
      </w:r>
      <w:r>
        <w:rPr>
          <w:rFonts w:ascii="Garamond" w:hAnsi="Garamond"/>
          <w:color w:val="auto"/>
          <w:sz w:val="24"/>
        </w:rPr>
        <w:t>,</w:t>
      </w:r>
    </w:p>
    <w:p w:rsidR="00B402A0" w:rsidRPr="00083265" w:rsidRDefault="00B402A0" w:rsidP="00051F4E">
      <w:pPr>
        <w:autoSpaceDE w:val="0"/>
        <w:autoSpaceDN w:val="0"/>
        <w:adjustRightInd w:val="0"/>
        <w:spacing w:before="40"/>
        <w:jc w:val="both"/>
        <w:rPr>
          <w:rFonts w:ascii="Garamond" w:hAnsi="Garamond" w:cs="Arial"/>
          <w:color w:val="auto"/>
          <w:sz w:val="24"/>
        </w:rPr>
      </w:pPr>
      <w:r w:rsidRPr="00083265">
        <w:rPr>
          <w:rFonts w:ascii="Garamond" w:hAnsi="Garamond"/>
          <w:color w:val="auto"/>
          <w:sz w:val="24"/>
        </w:rPr>
        <w:t xml:space="preserve">                -apart hotele, kondo hotele i garni hotele za 7</w:t>
      </w:r>
      <w:r>
        <w:rPr>
          <w:rFonts w:ascii="Garamond" w:hAnsi="Garamond"/>
          <w:color w:val="auto"/>
          <w:sz w:val="24"/>
        </w:rPr>
        <w:t>5%.</w:t>
      </w:r>
    </w:p>
    <w:p w:rsidR="00B402A0" w:rsidRPr="001F1599" w:rsidRDefault="00B402A0" w:rsidP="00AE6386">
      <w:pPr>
        <w:numPr>
          <w:ilvl w:val="0"/>
          <w:numId w:val="6"/>
        </w:numPr>
        <w:shd w:val="clear" w:color="auto" w:fill="FFFFFF"/>
        <w:spacing w:before="120" w:line="240" w:lineRule="exact"/>
        <w:ind w:left="993" w:hanging="284"/>
        <w:jc w:val="both"/>
        <w:rPr>
          <w:rFonts w:ascii="Garamond" w:hAnsi="Garamond"/>
          <w:color w:val="auto"/>
          <w:sz w:val="24"/>
        </w:rPr>
      </w:pPr>
      <w:r w:rsidRPr="001F1599">
        <w:rPr>
          <w:rFonts w:ascii="Garamond" w:hAnsi="Garamond" w:cs="Arial"/>
          <w:color w:val="auto"/>
          <w:sz w:val="24"/>
        </w:rPr>
        <w:t>Prilikom obračuna naknade vrši se umanjenje za:</w:t>
      </w:r>
    </w:p>
    <w:p w:rsidR="00B402A0" w:rsidRPr="001F1599" w:rsidRDefault="00B402A0" w:rsidP="00AE6386">
      <w:pPr>
        <w:pStyle w:val="ListParagraph"/>
        <w:autoSpaceDE w:val="0"/>
        <w:autoSpaceDN w:val="0"/>
        <w:adjustRightInd w:val="0"/>
        <w:spacing w:before="40"/>
        <w:ind w:left="960"/>
        <w:jc w:val="both"/>
        <w:rPr>
          <w:rFonts w:ascii="Garamond" w:hAnsi="Garamond" w:cs="Arial"/>
          <w:color w:val="auto"/>
          <w:sz w:val="24"/>
        </w:rPr>
      </w:pPr>
      <w:r w:rsidRPr="001F1599">
        <w:rPr>
          <w:rFonts w:ascii="Garamond" w:hAnsi="Garamond" w:cs="Arial"/>
          <w:color w:val="auto"/>
          <w:sz w:val="24"/>
        </w:rPr>
        <w:t xml:space="preserve">- Suterene -  40% </w:t>
      </w:r>
    </w:p>
    <w:p w:rsidR="00B402A0" w:rsidRPr="001F1599" w:rsidRDefault="00B402A0" w:rsidP="00AE6386">
      <w:pPr>
        <w:pStyle w:val="ListParagraph"/>
        <w:autoSpaceDE w:val="0"/>
        <w:autoSpaceDN w:val="0"/>
        <w:adjustRightInd w:val="0"/>
        <w:spacing w:before="40"/>
        <w:ind w:left="960"/>
        <w:jc w:val="both"/>
        <w:rPr>
          <w:rFonts w:ascii="Garamond" w:hAnsi="Garamond" w:cs="Arial"/>
          <w:color w:val="auto"/>
          <w:sz w:val="24"/>
        </w:rPr>
      </w:pPr>
      <w:r w:rsidRPr="001F1599">
        <w:rPr>
          <w:rFonts w:ascii="Garamond" w:hAnsi="Garamond" w:cs="Arial"/>
          <w:color w:val="auto"/>
          <w:sz w:val="24"/>
        </w:rPr>
        <w:t xml:space="preserve">- Podrume -  50% </w:t>
      </w:r>
    </w:p>
    <w:p w:rsidR="00B402A0" w:rsidRDefault="00B402A0" w:rsidP="00A302FA">
      <w:pPr>
        <w:pStyle w:val="ListParagraph"/>
        <w:autoSpaceDE w:val="0"/>
        <w:autoSpaceDN w:val="0"/>
        <w:adjustRightInd w:val="0"/>
        <w:spacing w:before="40"/>
        <w:ind w:left="960"/>
        <w:jc w:val="both"/>
        <w:rPr>
          <w:rFonts w:ascii="Garamond" w:hAnsi="Garamond" w:cs="Arial"/>
          <w:color w:val="auto"/>
          <w:sz w:val="24"/>
        </w:rPr>
      </w:pPr>
      <w:r w:rsidRPr="001F1599">
        <w:rPr>
          <w:rFonts w:ascii="Garamond" w:hAnsi="Garamond" w:cs="Arial"/>
          <w:color w:val="auto"/>
          <w:sz w:val="24"/>
        </w:rPr>
        <w:t>- Terase, spoljna stepeništa, rezervoari i sl. 75%</w:t>
      </w:r>
    </w:p>
    <w:p w:rsidR="00B402A0" w:rsidRDefault="00B402A0" w:rsidP="00A302FA">
      <w:pPr>
        <w:pStyle w:val="ListParagraph"/>
        <w:autoSpaceDE w:val="0"/>
        <w:autoSpaceDN w:val="0"/>
        <w:adjustRightInd w:val="0"/>
        <w:spacing w:before="40"/>
        <w:ind w:left="960"/>
        <w:jc w:val="both"/>
        <w:rPr>
          <w:rFonts w:ascii="Garamond" w:hAnsi="Garamond" w:cs="Arial"/>
          <w:color w:val="auto"/>
          <w:sz w:val="24"/>
        </w:rPr>
      </w:pPr>
    </w:p>
    <w:p w:rsidR="00B402A0" w:rsidRPr="00F72671" w:rsidRDefault="00B402A0" w:rsidP="00282F9B">
      <w:pPr>
        <w:shd w:val="clear" w:color="auto" w:fill="FFFFFF"/>
        <w:spacing w:before="120" w:line="240" w:lineRule="exact"/>
        <w:ind w:left="5" w:hanging="5"/>
        <w:jc w:val="center"/>
        <w:rPr>
          <w:rFonts w:ascii="Garamond" w:hAnsi="Garamond"/>
          <w:b/>
          <w:sz w:val="24"/>
        </w:rPr>
      </w:pPr>
      <w:r w:rsidRPr="00F72671">
        <w:rPr>
          <w:rFonts w:ascii="Garamond" w:hAnsi="Garamond"/>
          <w:b/>
          <w:sz w:val="24"/>
        </w:rPr>
        <w:t>III NAČIN, ROKOVI I POSTUPAK PLAĆANJA NAKNADE</w:t>
      </w:r>
    </w:p>
    <w:p w:rsidR="00B402A0" w:rsidRPr="00835235" w:rsidRDefault="00B402A0">
      <w:pPr>
        <w:shd w:val="clear" w:color="auto" w:fill="FFFFFF"/>
        <w:spacing w:before="120" w:line="240" w:lineRule="exact"/>
        <w:ind w:left="4214"/>
        <w:jc w:val="center"/>
        <w:rPr>
          <w:rFonts w:ascii="Garamond" w:hAnsi="Garamond"/>
          <w:sz w:val="24"/>
        </w:rPr>
      </w:pPr>
    </w:p>
    <w:p w:rsidR="00B402A0" w:rsidRPr="00045A19" w:rsidRDefault="00B402A0" w:rsidP="00045A19">
      <w:pPr>
        <w:shd w:val="clear" w:color="auto" w:fill="FFFFFF"/>
        <w:spacing w:before="120" w:line="240" w:lineRule="exact"/>
        <w:jc w:val="center"/>
        <w:rPr>
          <w:rFonts w:ascii="Garamond" w:hAnsi="Garamond"/>
          <w:b/>
          <w:sz w:val="24"/>
        </w:rPr>
      </w:pPr>
      <w:r>
        <w:rPr>
          <w:rFonts w:ascii="Garamond" w:hAnsi="Garamond"/>
          <w:b/>
          <w:sz w:val="24"/>
        </w:rPr>
        <w:t>Član 11</w:t>
      </w:r>
    </w:p>
    <w:p w:rsidR="00B402A0" w:rsidRPr="00835235" w:rsidRDefault="00B402A0">
      <w:pPr>
        <w:shd w:val="clear" w:color="auto" w:fill="FFFFFF"/>
        <w:spacing w:before="120" w:line="240" w:lineRule="exact"/>
        <w:ind w:left="19" w:right="5" w:hanging="19"/>
        <w:jc w:val="both"/>
        <w:rPr>
          <w:rFonts w:ascii="Garamond" w:hAnsi="Garamond"/>
          <w:sz w:val="24"/>
        </w:rPr>
      </w:pPr>
      <w:r w:rsidRPr="00835235">
        <w:rPr>
          <w:rFonts w:ascii="Garamond" w:hAnsi="Garamond"/>
          <w:sz w:val="24"/>
        </w:rPr>
        <w:t>Način plaćanja naknade, obaveze investitora i lokalne samouprave i ostala pita</w:t>
      </w:r>
      <w:r>
        <w:rPr>
          <w:rFonts w:ascii="Garamond" w:hAnsi="Garamond"/>
          <w:sz w:val="24"/>
        </w:rPr>
        <w:t>nja naknade uređuju se ugovorom,</w:t>
      </w:r>
      <w:r w:rsidRPr="00835235">
        <w:rPr>
          <w:rFonts w:ascii="Garamond" w:hAnsi="Garamond"/>
          <w:sz w:val="24"/>
        </w:rPr>
        <w:t xml:space="preserve"> </w:t>
      </w:r>
      <w:r w:rsidRPr="00835235">
        <w:rPr>
          <w:rFonts w:ascii="Garamond" w:hAnsi="Garamond" w:cs="Arial"/>
          <w:sz w:val="24"/>
        </w:rPr>
        <w:t>zaključenim između investitora i organa lokalne uprave za komunalne djelatnosti, kojim se uređuju međusobni odnosi u pogledu uslova, rokova, kao i način obezbjeđenja plaćanja.</w:t>
      </w:r>
    </w:p>
    <w:p w:rsidR="00B402A0" w:rsidRDefault="00B402A0">
      <w:pPr>
        <w:shd w:val="clear" w:color="auto" w:fill="FFFFFF"/>
        <w:spacing w:before="120" w:line="240" w:lineRule="exact"/>
        <w:ind w:left="19" w:right="5" w:hanging="19"/>
        <w:jc w:val="both"/>
        <w:rPr>
          <w:rFonts w:ascii="Garamond" w:hAnsi="Garamond"/>
          <w:color w:val="auto"/>
          <w:sz w:val="24"/>
        </w:rPr>
      </w:pPr>
      <w:r w:rsidRPr="00835235">
        <w:rPr>
          <w:rFonts w:ascii="Garamond" w:hAnsi="Garamond"/>
          <w:sz w:val="24"/>
        </w:rPr>
        <w:t>Ugovor iz sta</w:t>
      </w:r>
      <w:r>
        <w:rPr>
          <w:rFonts w:ascii="Garamond" w:hAnsi="Garamond"/>
          <w:sz w:val="24"/>
        </w:rPr>
        <w:t>va 1 ovog člana zaključuje</w:t>
      </w:r>
      <w:r w:rsidRPr="00835235">
        <w:rPr>
          <w:rFonts w:ascii="Garamond" w:hAnsi="Garamond"/>
          <w:sz w:val="24"/>
        </w:rPr>
        <w:t xml:space="preserve"> se  prij</w:t>
      </w:r>
      <w:r>
        <w:rPr>
          <w:rFonts w:ascii="Garamond" w:hAnsi="Garamond"/>
          <w:sz w:val="24"/>
        </w:rPr>
        <w:t>e izdavanja građevinske dozvole</w:t>
      </w:r>
      <w:r w:rsidRPr="00083265">
        <w:rPr>
          <w:rFonts w:ascii="Garamond" w:hAnsi="Garamond"/>
          <w:color w:val="auto"/>
          <w:sz w:val="24"/>
        </w:rPr>
        <w:t>, a nakon dobijanja obavještenja nadležnog organa da</w:t>
      </w:r>
      <w:r>
        <w:rPr>
          <w:rFonts w:ascii="Garamond" w:hAnsi="Garamond"/>
          <w:color w:val="auto"/>
          <w:sz w:val="24"/>
        </w:rPr>
        <w:t xml:space="preserve"> su ispu</w:t>
      </w:r>
      <w:r w:rsidRPr="00083265">
        <w:rPr>
          <w:rFonts w:ascii="Garamond" w:hAnsi="Garamond"/>
          <w:color w:val="auto"/>
          <w:sz w:val="24"/>
        </w:rPr>
        <w:t>njeni ostali uslovi za izdavanje građevinske dozvo</w:t>
      </w:r>
      <w:r>
        <w:rPr>
          <w:rFonts w:ascii="Garamond" w:hAnsi="Garamond"/>
          <w:color w:val="auto"/>
          <w:sz w:val="24"/>
        </w:rPr>
        <w:t>le.</w:t>
      </w:r>
    </w:p>
    <w:p w:rsidR="00B402A0" w:rsidRDefault="00B402A0" w:rsidP="0082578C">
      <w:pPr>
        <w:shd w:val="clear" w:color="auto" w:fill="FFFFFF"/>
        <w:spacing w:before="120" w:line="240" w:lineRule="exact"/>
        <w:ind w:left="19" w:right="5" w:hanging="19"/>
        <w:jc w:val="both"/>
        <w:rPr>
          <w:rFonts w:ascii="Garamond" w:hAnsi="Garamond"/>
          <w:color w:val="auto"/>
          <w:sz w:val="24"/>
        </w:rPr>
      </w:pPr>
      <w:r>
        <w:rPr>
          <w:rFonts w:ascii="Garamond" w:hAnsi="Garamond"/>
          <w:color w:val="auto"/>
          <w:sz w:val="24"/>
        </w:rPr>
        <w:t>Za objekte iz člana 7 Zakona o uređenju prostora i izgradnji objekata, Ugovor iz stava 1 ovog člana sadrži obavezu investitora u pogledu dokazivanja da je u roku od 6 mjeseci od izdavanja upotrebne dozvole, ispunio uslove propisane Zakonom i Odlukom u odnosu na oslobađanje od plaćanja naknade.</w:t>
      </w:r>
    </w:p>
    <w:p w:rsidR="00B402A0" w:rsidRPr="0082578C" w:rsidRDefault="00B402A0" w:rsidP="0082578C">
      <w:pPr>
        <w:shd w:val="clear" w:color="auto" w:fill="FFFFFF"/>
        <w:spacing w:before="120" w:line="240" w:lineRule="exact"/>
        <w:ind w:left="19" w:right="5" w:hanging="19"/>
        <w:jc w:val="both"/>
        <w:rPr>
          <w:rFonts w:ascii="Garamond" w:hAnsi="Garamond"/>
          <w:color w:val="auto"/>
          <w:sz w:val="24"/>
        </w:rPr>
      </w:pPr>
      <w:r w:rsidRPr="00835235">
        <w:rPr>
          <w:rFonts w:ascii="Garamond" w:hAnsi="Garamond" w:cs="Arial"/>
          <w:sz w:val="24"/>
        </w:rPr>
        <w:t>Ako u toku građenja objekta investitor odstupi od dokumentacije na osnovu koje je pribavio odobrenje za građenje, odnosno odstupi od glavnog projekta, dužan je da snosi troškove razlike u naknadi za komunalno opremanje.</w:t>
      </w:r>
    </w:p>
    <w:p w:rsidR="00B402A0" w:rsidRDefault="00B402A0" w:rsidP="005F70E4">
      <w:pPr>
        <w:autoSpaceDE w:val="0"/>
        <w:autoSpaceDN w:val="0"/>
        <w:adjustRightInd w:val="0"/>
        <w:spacing w:before="40"/>
        <w:jc w:val="both"/>
        <w:rPr>
          <w:rFonts w:ascii="Garamond" w:hAnsi="Garamond" w:cs="Arial"/>
          <w:sz w:val="24"/>
        </w:rPr>
      </w:pPr>
      <w:r>
        <w:rPr>
          <w:rFonts w:ascii="Garamond" w:hAnsi="Garamond" w:cs="Arial"/>
          <w:sz w:val="24"/>
        </w:rPr>
        <w:t xml:space="preserve"> U slučaju iz stava 4</w:t>
      </w:r>
      <w:r w:rsidRPr="00835235">
        <w:rPr>
          <w:rFonts w:ascii="Garamond" w:hAnsi="Garamond" w:cs="Arial"/>
          <w:sz w:val="24"/>
        </w:rPr>
        <w:t xml:space="preserve"> ovog člana investitor je dužan da dostavi odobrenje za izgradnju po izmijenjenoj dokumentaciji odnosno izmijenjen glavni projekat.</w:t>
      </w:r>
    </w:p>
    <w:p w:rsidR="00B402A0" w:rsidRPr="00835235" w:rsidRDefault="00B402A0" w:rsidP="005F70E4">
      <w:pPr>
        <w:autoSpaceDE w:val="0"/>
        <w:autoSpaceDN w:val="0"/>
        <w:adjustRightInd w:val="0"/>
        <w:spacing w:before="40"/>
        <w:jc w:val="both"/>
        <w:rPr>
          <w:rFonts w:ascii="Garamond" w:hAnsi="Garamond" w:cs="Arial"/>
          <w:sz w:val="24"/>
        </w:rPr>
      </w:pPr>
    </w:p>
    <w:p w:rsidR="00B402A0" w:rsidRDefault="00B402A0" w:rsidP="00051F4E">
      <w:pPr>
        <w:shd w:val="clear" w:color="auto" w:fill="FFFFFF"/>
        <w:spacing w:before="120" w:line="240" w:lineRule="exact"/>
        <w:ind w:right="14"/>
        <w:jc w:val="center"/>
        <w:rPr>
          <w:rFonts w:ascii="Garamond" w:hAnsi="Garamond"/>
          <w:b/>
          <w:color w:val="auto"/>
          <w:sz w:val="24"/>
        </w:rPr>
      </w:pPr>
      <w:r>
        <w:rPr>
          <w:rFonts w:ascii="Garamond" w:hAnsi="Garamond"/>
          <w:b/>
          <w:color w:val="auto"/>
          <w:sz w:val="24"/>
        </w:rPr>
        <w:t>Član 12</w:t>
      </w:r>
    </w:p>
    <w:p w:rsidR="00B402A0" w:rsidRPr="004E0C4B" w:rsidRDefault="00B402A0" w:rsidP="004E0C4B">
      <w:pPr>
        <w:shd w:val="clear" w:color="auto" w:fill="FFFFFF"/>
        <w:ind w:right="14"/>
        <w:jc w:val="center"/>
        <w:rPr>
          <w:rFonts w:ascii="Garamond" w:hAnsi="Garamond"/>
          <w:b/>
          <w:color w:val="auto"/>
          <w:sz w:val="18"/>
          <w:szCs w:val="18"/>
        </w:rPr>
      </w:pPr>
    </w:p>
    <w:p w:rsidR="00B402A0" w:rsidRPr="00BB4A32" w:rsidRDefault="00B402A0" w:rsidP="00E73535">
      <w:pPr>
        <w:shd w:val="clear" w:color="auto" w:fill="FFFFFF"/>
        <w:spacing w:before="120" w:line="240" w:lineRule="exact"/>
        <w:ind w:right="121"/>
        <w:jc w:val="both"/>
        <w:rPr>
          <w:rFonts w:ascii="Garamond" w:hAnsi="Garamond"/>
          <w:color w:val="auto"/>
          <w:sz w:val="24"/>
        </w:rPr>
      </w:pPr>
      <w:r w:rsidRPr="00BB4A32">
        <w:rPr>
          <w:rFonts w:ascii="Garamond" w:hAnsi="Garamond"/>
          <w:color w:val="auto"/>
          <w:sz w:val="24"/>
        </w:rPr>
        <w:t xml:space="preserve">Organ lokalne uprave nadležan za </w:t>
      </w:r>
      <w:r>
        <w:rPr>
          <w:rFonts w:ascii="Garamond" w:hAnsi="Garamond"/>
          <w:color w:val="auto"/>
          <w:sz w:val="24"/>
        </w:rPr>
        <w:t>komunalne poslove i saobraćaj, dužan je da u roku od 15</w:t>
      </w:r>
      <w:r w:rsidRPr="00BB4A32">
        <w:rPr>
          <w:rFonts w:ascii="Garamond" w:hAnsi="Garamond"/>
          <w:color w:val="auto"/>
          <w:sz w:val="24"/>
        </w:rPr>
        <w:t xml:space="preserve"> dana od dana dostavljanja revidovanog idejnog</w:t>
      </w:r>
      <w:r>
        <w:rPr>
          <w:rFonts w:ascii="Garamond" w:hAnsi="Garamond"/>
          <w:color w:val="auto"/>
          <w:sz w:val="24"/>
        </w:rPr>
        <w:t xml:space="preserve">, </w:t>
      </w:r>
      <w:r w:rsidRPr="00BB4A32">
        <w:rPr>
          <w:rFonts w:ascii="Garamond" w:hAnsi="Garamond"/>
          <w:color w:val="auto"/>
          <w:sz w:val="24"/>
        </w:rPr>
        <w:t>odnosno glavnog projekta na obračun,</w:t>
      </w:r>
      <w:r>
        <w:rPr>
          <w:rFonts w:ascii="Garamond" w:hAnsi="Garamond"/>
          <w:color w:val="auto"/>
          <w:sz w:val="24"/>
        </w:rPr>
        <w:t xml:space="preserve"> </w:t>
      </w:r>
      <w:r w:rsidRPr="00BB4A32">
        <w:rPr>
          <w:rFonts w:ascii="Garamond" w:hAnsi="Garamond"/>
          <w:color w:val="auto"/>
          <w:sz w:val="24"/>
        </w:rPr>
        <w:t>nadležnom organu za izdavanje građevinske dozvole dostavi potvrdu, kao dokaz o</w:t>
      </w:r>
      <w:r>
        <w:rPr>
          <w:rFonts w:ascii="Garamond" w:hAnsi="Garamond"/>
          <w:color w:val="auto"/>
          <w:sz w:val="24"/>
        </w:rPr>
        <w:t xml:space="preserve"> </w:t>
      </w:r>
      <w:r w:rsidRPr="00BB4A32">
        <w:rPr>
          <w:rFonts w:ascii="Garamond" w:hAnsi="Garamond"/>
          <w:color w:val="auto"/>
          <w:sz w:val="24"/>
        </w:rPr>
        <w:t>uređivanju odnosa u pogledu plaćanja naknade za komunalno opremanje nakon</w:t>
      </w:r>
      <w:r>
        <w:rPr>
          <w:rFonts w:ascii="Garamond" w:hAnsi="Garamond"/>
          <w:color w:val="auto"/>
          <w:sz w:val="24"/>
        </w:rPr>
        <w:t xml:space="preserve"> zaključenja ugovora o naknadi, u</w:t>
      </w:r>
      <w:r w:rsidRPr="00BB4A32">
        <w:rPr>
          <w:rFonts w:ascii="Garamond" w:hAnsi="Garamond"/>
          <w:color w:val="auto"/>
          <w:sz w:val="24"/>
        </w:rPr>
        <w:t>plate prve rate i dostavljanja sredstava</w:t>
      </w:r>
      <w:r>
        <w:rPr>
          <w:rFonts w:ascii="Garamond" w:hAnsi="Garamond"/>
          <w:color w:val="auto"/>
          <w:sz w:val="24"/>
        </w:rPr>
        <w:t xml:space="preserve"> </w:t>
      </w:r>
      <w:r w:rsidRPr="00BB4A32">
        <w:rPr>
          <w:rFonts w:ascii="Garamond" w:hAnsi="Garamond"/>
          <w:color w:val="auto"/>
          <w:sz w:val="24"/>
        </w:rPr>
        <w:t>obezbeđenja, ili obavještenje da se nijesu stekli uslovi za izdavanje potvrde.</w:t>
      </w:r>
    </w:p>
    <w:p w:rsidR="00B402A0" w:rsidRPr="00BB4A32" w:rsidRDefault="00B402A0" w:rsidP="00BB4A32">
      <w:pPr>
        <w:shd w:val="clear" w:color="auto" w:fill="FFFFFF"/>
        <w:tabs>
          <w:tab w:val="left" w:pos="6663"/>
        </w:tabs>
        <w:spacing w:before="120" w:line="240" w:lineRule="exact"/>
        <w:ind w:left="374" w:right="121"/>
        <w:jc w:val="center"/>
        <w:rPr>
          <w:rFonts w:ascii="Garamond" w:hAnsi="Garamond"/>
          <w:color w:val="FF0000"/>
          <w:sz w:val="24"/>
        </w:rPr>
      </w:pPr>
      <w:r w:rsidRPr="00083265">
        <w:rPr>
          <w:rFonts w:ascii="Garamond" w:hAnsi="Garamond"/>
          <w:b/>
          <w:color w:val="auto"/>
          <w:sz w:val="24"/>
        </w:rPr>
        <w:t>Član</w:t>
      </w:r>
      <w:r>
        <w:rPr>
          <w:rFonts w:ascii="Garamond" w:hAnsi="Garamond"/>
          <w:b/>
          <w:sz w:val="24"/>
        </w:rPr>
        <w:t xml:space="preserve"> 13</w:t>
      </w:r>
    </w:p>
    <w:p w:rsidR="00B402A0" w:rsidRPr="00835235" w:rsidRDefault="00B402A0">
      <w:pPr>
        <w:shd w:val="clear" w:color="auto" w:fill="FFFFFF"/>
        <w:spacing w:before="120" w:line="240" w:lineRule="exact"/>
        <w:ind w:firstLine="14"/>
        <w:jc w:val="both"/>
        <w:rPr>
          <w:rFonts w:ascii="Garamond" w:hAnsi="Garamond"/>
          <w:sz w:val="24"/>
        </w:rPr>
      </w:pPr>
      <w:r w:rsidRPr="00835235">
        <w:rPr>
          <w:rFonts w:ascii="Garamond" w:hAnsi="Garamond"/>
          <w:sz w:val="24"/>
        </w:rPr>
        <w:t>Naknada se plaća u ukupnom iznosu jednokratno ili u mjesečnim ratama.</w:t>
      </w:r>
    </w:p>
    <w:p w:rsidR="00B402A0" w:rsidRPr="00835235" w:rsidRDefault="00B402A0">
      <w:pPr>
        <w:shd w:val="clear" w:color="auto" w:fill="FFFFFF"/>
        <w:spacing w:before="120" w:line="240" w:lineRule="exact"/>
        <w:ind w:left="5" w:hanging="5"/>
        <w:jc w:val="both"/>
        <w:rPr>
          <w:rFonts w:ascii="Garamond" w:hAnsi="Garamond"/>
          <w:sz w:val="24"/>
        </w:rPr>
      </w:pPr>
      <w:r w:rsidRPr="00835235">
        <w:rPr>
          <w:rFonts w:ascii="Garamond" w:hAnsi="Garamond"/>
          <w:sz w:val="24"/>
        </w:rPr>
        <w:t xml:space="preserve">Jednokratno plaćanje podrazumijeva plaćanje naknade u cjelokupnom iznosu u roku od 3 dana od dana zaključivanja ugovora o uređenju odnosa u pogledu naknade za komunalno opremanje, u kom slučaju investitor ima pravo na umanjenje </w:t>
      </w:r>
      <w:r w:rsidRPr="00051F4E">
        <w:rPr>
          <w:rFonts w:ascii="Garamond" w:hAnsi="Garamond"/>
          <w:color w:val="auto"/>
          <w:sz w:val="24"/>
        </w:rPr>
        <w:t xml:space="preserve">za </w:t>
      </w:r>
      <w:r w:rsidRPr="00051F4E">
        <w:rPr>
          <w:rFonts w:ascii="Garamond" w:hAnsi="Garamond"/>
          <w:b/>
          <w:color w:val="auto"/>
          <w:sz w:val="24"/>
        </w:rPr>
        <w:t>20 %</w:t>
      </w:r>
      <w:r w:rsidRPr="00835235">
        <w:rPr>
          <w:rFonts w:ascii="Garamond" w:hAnsi="Garamond"/>
          <w:sz w:val="24"/>
        </w:rPr>
        <w:t xml:space="preserve"> od obračunate vrijednosti naknade.</w:t>
      </w:r>
    </w:p>
    <w:p w:rsidR="00B402A0" w:rsidRPr="00835235" w:rsidRDefault="00B402A0">
      <w:pPr>
        <w:shd w:val="clear" w:color="auto" w:fill="FFFFFF"/>
        <w:spacing w:before="120" w:line="240" w:lineRule="exact"/>
        <w:jc w:val="both"/>
        <w:rPr>
          <w:rFonts w:ascii="Garamond" w:hAnsi="Garamond"/>
          <w:sz w:val="24"/>
        </w:rPr>
      </w:pPr>
      <w:r w:rsidRPr="00835235">
        <w:rPr>
          <w:rFonts w:ascii="Garamond" w:hAnsi="Garamond"/>
          <w:sz w:val="24"/>
        </w:rPr>
        <w:t xml:space="preserve">Investitor može naknadu platiti u mjesečnim ratama, i to za porodične stambene zgrade na period do 5 godina, a za ostale objekte na period do 3 godine. </w:t>
      </w:r>
    </w:p>
    <w:p w:rsidR="00B402A0" w:rsidRDefault="00B402A0">
      <w:pPr>
        <w:shd w:val="clear" w:color="auto" w:fill="FFFFFF"/>
        <w:spacing w:before="120" w:line="240" w:lineRule="exact"/>
        <w:ind w:left="5" w:right="10" w:hanging="5"/>
        <w:jc w:val="both"/>
        <w:rPr>
          <w:rFonts w:ascii="Garamond" w:hAnsi="Garamond"/>
          <w:sz w:val="24"/>
        </w:rPr>
      </w:pPr>
      <w:r w:rsidRPr="00835235">
        <w:rPr>
          <w:rFonts w:ascii="Garamond" w:hAnsi="Garamond"/>
          <w:sz w:val="24"/>
        </w:rPr>
        <w:t>U slučaju iz stava 3 ovog člana, investitor je dužan da uplati p</w:t>
      </w:r>
      <w:r>
        <w:rPr>
          <w:rFonts w:ascii="Garamond" w:hAnsi="Garamond"/>
          <w:sz w:val="24"/>
        </w:rPr>
        <w:t>rvu ratu u najmanjem iznosu od 2</w:t>
      </w:r>
      <w:r w:rsidRPr="00835235">
        <w:rPr>
          <w:rFonts w:ascii="Garamond" w:hAnsi="Garamond"/>
          <w:sz w:val="24"/>
        </w:rPr>
        <w:t>0% od ukupne vrijednosti naknade, danom zaključenja ugovora.</w:t>
      </w:r>
    </w:p>
    <w:p w:rsidR="00B402A0" w:rsidRPr="00F86AAF" w:rsidRDefault="00B402A0" w:rsidP="00F86AAF">
      <w:pPr>
        <w:shd w:val="clear" w:color="auto" w:fill="FFFFFF"/>
        <w:spacing w:before="120" w:line="240" w:lineRule="exact"/>
        <w:ind w:left="5" w:right="10" w:hanging="5"/>
        <w:jc w:val="both"/>
        <w:rPr>
          <w:rFonts w:ascii="Garamond" w:hAnsi="Garamond"/>
          <w:color w:val="auto"/>
          <w:sz w:val="24"/>
        </w:rPr>
      </w:pPr>
      <w:r w:rsidRPr="00D91A48">
        <w:rPr>
          <w:rFonts w:ascii="Garamond" w:hAnsi="Garamond"/>
          <w:color w:val="auto"/>
          <w:sz w:val="24"/>
        </w:rPr>
        <w:t xml:space="preserve">Ukoliko </w:t>
      </w:r>
      <w:r>
        <w:rPr>
          <w:rFonts w:ascii="Garamond" w:hAnsi="Garamond"/>
          <w:color w:val="auto"/>
          <w:sz w:val="24"/>
        </w:rPr>
        <w:t xml:space="preserve">je </w:t>
      </w:r>
      <w:r w:rsidRPr="00D91A48">
        <w:rPr>
          <w:rFonts w:ascii="Garamond" w:hAnsi="Garamond"/>
          <w:color w:val="auto"/>
          <w:sz w:val="24"/>
        </w:rPr>
        <w:t>investitor koji je sklopio ugovor o naknadi sa plaćanjem u</w:t>
      </w:r>
      <w:r>
        <w:rPr>
          <w:rFonts w:ascii="Garamond" w:hAnsi="Garamond"/>
          <w:color w:val="auto"/>
          <w:sz w:val="24"/>
        </w:rPr>
        <w:t xml:space="preserve"> </w:t>
      </w:r>
      <w:r w:rsidRPr="00083265">
        <w:rPr>
          <w:rFonts w:ascii="Garamond" w:hAnsi="Garamond"/>
          <w:color w:val="auto"/>
          <w:sz w:val="24"/>
        </w:rPr>
        <w:t>mjesečnim</w:t>
      </w:r>
      <w:r w:rsidRPr="00D91A48">
        <w:rPr>
          <w:rFonts w:ascii="Garamond" w:hAnsi="Garamond"/>
          <w:color w:val="00B050"/>
          <w:sz w:val="24"/>
        </w:rPr>
        <w:t xml:space="preserve"> </w:t>
      </w:r>
      <w:r w:rsidRPr="00D91A48">
        <w:rPr>
          <w:rFonts w:ascii="Garamond" w:hAnsi="Garamond"/>
          <w:color w:val="auto"/>
          <w:sz w:val="24"/>
        </w:rPr>
        <w:t xml:space="preserve"> ratama, pr</w:t>
      </w:r>
      <w:r>
        <w:rPr>
          <w:rFonts w:ascii="Garamond" w:hAnsi="Garamond"/>
          <w:color w:val="auto"/>
          <w:sz w:val="24"/>
        </w:rPr>
        <w:t>ij</w:t>
      </w:r>
      <w:r w:rsidRPr="00D91A48">
        <w:rPr>
          <w:rFonts w:ascii="Garamond" w:hAnsi="Garamond"/>
          <w:color w:val="auto"/>
          <w:sz w:val="24"/>
        </w:rPr>
        <w:t xml:space="preserve">e isteka tog vremena </w:t>
      </w:r>
      <w:r>
        <w:rPr>
          <w:rFonts w:ascii="Garamond" w:hAnsi="Garamond"/>
          <w:color w:val="auto"/>
          <w:sz w:val="24"/>
        </w:rPr>
        <w:t>voljan</w:t>
      </w:r>
      <w:r w:rsidRPr="00D91A48">
        <w:rPr>
          <w:rFonts w:ascii="Garamond" w:hAnsi="Garamond"/>
          <w:color w:val="auto"/>
          <w:sz w:val="24"/>
        </w:rPr>
        <w:t xml:space="preserve"> da uplati cjelokupan dug,  daje se mogućnost da preostali iznos naknade plati jednokratno u roku od tri dana od zaključenja aneksa ugovora i u tom slučaju ostvaruje pravo na umanjenje od 20 % na iznos preostalog dug</w:t>
      </w:r>
      <w:r>
        <w:rPr>
          <w:rFonts w:ascii="Garamond" w:hAnsi="Garamond"/>
          <w:color w:val="auto"/>
          <w:sz w:val="24"/>
        </w:rPr>
        <w:t>a.</w:t>
      </w:r>
    </w:p>
    <w:p w:rsidR="00B402A0" w:rsidRPr="00045A19" w:rsidRDefault="00B402A0">
      <w:pPr>
        <w:shd w:val="clear" w:color="auto" w:fill="FFFFFF"/>
        <w:spacing w:before="120" w:line="240" w:lineRule="exact"/>
        <w:ind w:left="4133"/>
        <w:jc w:val="both"/>
        <w:rPr>
          <w:rFonts w:ascii="Garamond" w:hAnsi="Garamond"/>
          <w:b/>
          <w:sz w:val="24"/>
        </w:rPr>
      </w:pPr>
      <w:r>
        <w:rPr>
          <w:rFonts w:ascii="Garamond" w:hAnsi="Garamond"/>
          <w:b/>
          <w:sz w:val="24"/>
        </w:rPr>
        <w:t>Član 14</w:t>
      </w:r>
    </w:p>
    <w:p w:rsidR="00B402A0" w:rsidRPr="00835235" w:rsidRDefault="00B402A0" w:rsidP="005970A8">
      <w:pPr>
        <w:shd w:val="clear" w:color="auto" w:fill="FFFFFF"/>
        <w:spacing w:before="120" w:line="240" w:lineRule="exact"/>
        <w:ind w:left="10" w:right="14" w:hanging="10"/>
        <w:jc w:val="both"/>
        <w:rPr>
          <w:rFonts w:ascii="Garamond" w:hAnsi="Garamond"/>
          <w:sz w:val="24"/>
        </w:rPr>
      </w:pPr>
      <w:r w:rsidRPr="00835235">
        <w:rPr>
          <w:rFonts w:ascii="Garamond" w:hAnsi="Garamond"/>
          <w:sz w:val="24"/>
        </w:rPr>
        <w:t>Kod plaćanja naknade u ratama ugovara se redovna kamata, zatezna kamata i odgovarajuća sredstva obezbjeđenja plaćanja.</w:t>
      </w:r>
    </w:p>
    <w:p w:rsidR="00B402A0" w:rsidRPr="00835235" w:rsidRDefault="00B402A0" w:rsidP="005970A8">
      <w:pPr>
        <w:shd w:val="clear" w:color="auto" w:fill="FFFFFF"/>
        <w:spacing w:before="120" w:line="240" w:lineRule="exact"/>
        <w:ind w:left="5" w:right="10" w:hanging="5"/>
        <w:jc w:val="both"/>
        <w:rPr>
          <w:rFonts w:ascii="Garamond" w:hAnsi="Garamond"/>
          <w:sz w:val="24"/>
        </w:rPr>
      </w:pPr>
      <w:r w:rsidRPr="00835235">
        <w:rPr>
          <w:rFonts w:ascii="Garamond" w:hAnsi="Garamond"/>
          <w:sz w:val="24"/>
        </w:rPr>
        <w:t xml:space="preserve">Iznos mjesečne rate se uvećava za iznos redovne kamate koju plaća domicilna banka na oročena sredstva. </w:t>
      </w:r>
    </w:p>
    <w:p w:rsidR="00B402A0" w:rsidRPr="00835235" w:rsidRDefault="00B402A0" w:rsidP="005970A8">
      <w:pPr>
        <w:shd w:val="clear" w:color="auto" w:fill="FFFFFF"/>
        <w:spacing w:before="120" w:line="240" w:lineRule="exact"/>
        <w:ind w:left="5" w:right="10" w:hanging="5"/>
        <w:jc w:val="both"/>
        <w:rPr>
          <w:rFonts w:ascii="Garamond" w:hAnsi="Garamond"/>
          <w:sz w:val="24"/>
        </w:rPr>
      </w:pPr>
      <w:r w:rsidRPr="00835235">
        <w:rPr>
          <w:rFonts w:ascii="Garamond" w:hAnsi="Garamond"/>
          <w:sz w:val="24"/>
        </w:rPr>
        <w:t>U slučaju da investitor</w:t>
      </w:r>
      <w:r>
        <w:rPr>
          <w:rFonts w:ascii="Garamond" w:hAnsi="Garamond"/>
          <w:sz w:val="24"/>
        </w:rPr>
        <w:t xml:space="preserve"> zadocni sa plaćanjem naknade, </w:t>
      </w:r>
      <w:r w:rsidRPr="00835235">
        <w:rPr>
          <w:rFonts w:ascii="Garamond" w:hAnsi="Garamond"/>
          <w:sz w:val="24"/>
        </w:rPr>
        <w:t xml:space="preserve">obračunava se zatezna kamata u skladu sa zakonom. </w:t>
      </w:r>
    </w:p>
    <w:p w:rsidR="00B402A0" w:rsidRPr="00835235" w:rsidRDefault="00B402A0" w:rsidP="005970A8">
      <w:pPr>
        <w:shd w:val="clear" w:color="auto" w:fill="FFFFFF"/>
        <w:spacing w:before="120" w:line="240" w:lineRule="exact"/>
        <w:ind w:left="31"/>
        <w:jc w:val="both"/>
        <w:rPr>
          <w:rFonts w:ascii="Garamond" w:hAnsi="Garamond"/>
          <w:sz w:val="24"/>
        </w:rPr>
      </w:pPr>
      <w:r w:rsidRPr="00835235">
        <w:rPr>
          <w:rFonts w:ascii="Garamond" w:hAnsi="Garamond"/>
          <w:sz w:val="24"/>
        </w:rPr>
        <w:t>Kod plaćanja naknade u ratama investitor je dužan da obezbijedi sredstva obezbjeđenja plaćanja, i to:</w:t>
      </w:r>
    </w:p>
    <w:p w:rsidR="00B402A0" w:rsidRPr="00835235" w:rsidRDefault="00B402A0" w:rsidP="00B16CFE">
      <w:pPr>
        <w:numPr>
          <w:ilvl w:val="0"/>
          <w:numId w:val="1"/>
        </w:numPr>
        <w:shd w:val="clear" w:color="auto" w:fill="FFFFFF"/>
        <w:tabs>
          <w:tab w:val="clear" w:pos="148"/>
          <w:tab w:val="num" w:pos="518"/>
        </w:tabs>
        <w:spacing w:before="120" w:line="240" w:lineRule="exact"/>
        <w:ind w:left="0" w:right="5" w:firstLine="370"/>
        <w:jc w:val="both"/>
        <w:rPr>
          <w:rFonts w:ascii="Garamond" w:hAnsi="Garamond"/>
          <w:sz w:val="24"/>
        </w:rPr>
      </w:pPr>
      <w:r w:rsidRPr="00835235">
        <w:rPr>
          <w:rFonts w:ascii="Garamond" w:hAnsi="Garamond"/>
          <w:sz w:val="24"/>
        </w:rPr>
        <w:t>pravna lica, neopozivu bankarsku garanciju "bez prigovora" naplativu "na prvi poziv", na ugovoreni iznos naknade, u skladu sa važećim zakonskim propisima, ili bankarsku revolving garanciju "bez prigovora" naplativu "na prvi poziv", u vrijednosti 12 mjesečnih rata ugovorene naknade. Za dio duga koji nije obezbijeđen revolving bankarskom garancijom investitor je dužan da obezbijedi hipoteku na nepokretnosti čija vrijednost mora biti za 30% veća od vrijednosti preostalog duga;</w:t>
      </w:r>
    </w:p>
    <w:p w:rsidR="00B402A0" w:rsidRPr="00835235" w:rsidRDefault="00B402A0" w:rsidP="00B16CFE">
      <w:pPr>
        <w:numPr>
          <w:ilvl w:val="0"/>
          <w:numId w:val="1"/>
        </w:numPr>
        <w:shd w:val="clear" w:color="auto" w:fill="FFFFFF"/>
        <w:tabs>
          <w:tab w:val="clear" w:pos="148"/>
          <w:tab w:val="num" w:pos="518"/>
        </w:tabs>
        <w:spacing w:before="120" w:line="240" w:lineRule="exact"/>
        <w:ind w:left="0" w:right="14" w:firstLine="148"/>
        <w:jc w:val="both"/>
        <w:rPr>
          <w:rFonts w:ascii="Garamond" w:hAnsi="Garamond"/>
          <w:sz w:val="24"/>
        </w:rPr>
      </w:pPr>
      <w:r w:rsidRPr="00835235">
        <w:rPr>
          <w:rFonts w:ascii="Garamond" w:hAnsi="Garamond"/>
          <w:sz w:val="24"/>
        </w:rPr>
        <w:t>fizička lica, hipoteku na nepokretnosti čija vrijednost mora biti za 30</w:t>
      </w:r>
      <w:r>
        <w:rPr>
          <w:rFonts w:ascii="Garamond" w:hAnsi="Garamond"/>
          <w:sz w:val="24"/>
        </w:rPr>
        <w:t xml:space="preserve">% veća od ugovorene vrijednosti, ili </w:t>
      </w:r>
      <w:r w:rsidRPr="00835235">
        <w:rPr>
          <w:rFonts w:ascii="Garamond" w:hAnsi="Garamond"/>
          <w:sz w:val="24"/>
        </w:rPr>
        <w:t>neopozivu bankarsku garanciju "bez prigovora" naplativu "na prvi poziv", na ugovoreni iznos naknade, u skladu sa važećim zakonskim propisima</w:t>
      </w:r>
      <w:r>
        <w:rPr>
          <w:rFonts w:ascii="Garamond" w:hAnsi="Garamond"/>
          <w:sz w:val="24"/>
        </w:rPr>
        <w:t>.</w:t>
      </w:r>
    </w:p>
    <w:p w:rsidR="00B402A0" w:rsidRPr="00835235" w:rsidRDefault="00B402A0" w:rsidP="005970A8">
      <w:pPr>
        <w:shd w:val="clear" w:color="auto" w:fill="FFFFFF"/>
        <w:tabs>
          <w:tab w:val="left" w:pos="0"/>
        </w:tabs>
        <w:spacing w:before="120" w:line="240" w:lineRule="exact"/>
        <w:ind w:right="14"/>
        <w:jc w:val="both"/>
        <w:rPr>
          <w:rFonts w:ascii="Garamond" w:hAnsi="Garamond"/>
          <w:sz w:val="24"/>
        </w:rPr>
      </w:pPr>
      <w:r w:rsidRPr="00835235">
        <w:rPr>
          <w:rFonts w:ascii="Garamond" w:hAnsi="Garamond"/>
          <w:sz w:val="24"/>
        </w:rPr>
        <w:t xml:space="preserve">Ukoliko </w:t>
      </w:r>
      <w:r w:rsidRPr="00083265">
        <w:rPr>
          <w:rFonts w:ascii="Garamond" w:hAnsi="Garamond"/>
          <w:color w:val="auto"/>
          <w:sz w:val="24"/>
        </w:rPr>
        <w:t>investitor zakasni</w:t>
      </w:r>
      <w:r w:rsidRPr="00835235">
        <w:rPr>
          <w:rFonts w:ascii="Garamond" w:hAnsi="Garamond"/>
          <w:sz w:val="24"/>
        </w:rPr>
        <w:t xml:space="preserve"> sa plaćanjem duže od tri mjeseca, smatraće se dospjelim  cjelokupni iznos duga pa će </w:t>
      </w:r>
      <w:r>
        <w:rPr>
          <w:rFonts w:ascii="Garamond" w:hAnsi="Garamond"/>
          <w:sz w:val="24"/>
        </w:rPr>
        <w:t>Prijestonica</w:t>
      </w:r>
      <w:r w:rsidRPr="00835235">
        <w:rPr>
          <w:rFonts w:ascii="Garamond" w:hAnsi="Garamond"/>
          <w:sz w:val="24"/>
        </w:rPr>
        <w:t xml:space="preserve"> aktivirati sva ugovorena sredstva obezbjeđenja.</w:t>
      </w:r>
    </w:p>
    <w:p w:rsidR="00B402A0" w:rsidRPr="00835235" w:rsidRDefault="00B402A0" w:rsidP="005970A8">
      <w:pPr>
        <w:shd w:val="clear" w:color="auto" w:fill="FFFFFF"/>
        <w:tabs>
          <w:tab w:val="left" w:pos="0"/>
        </w:tabs>
        <w:spacing w:before="120" w:line="240" w:lineRule="exact"/>
        <w:ind w:right="14"/>
        <w:jc w:val="both"/>
        <w:rPr>
          <w:rFonts w:ascii="Garamond" w:hAnsi="Garamond"/>
          <w:sz w:val="24"/>
        </w:rPr>
      </w:pPr>
      <w:r w:rsidRPr="00835235">
        <w:rPr>
          <w:rFonts w:ascii="Garamond" w:hAnsi="Garamond"/>
          <w:sz w:val="24"/>
        </w:rPr>
        <w:t>Prilikom zaključenja ugovora o hipoteci investitor je dužan da od ovlašćenog procjenitelja obezbijedi procjenu vrijednosti nepokretnosti na kojoj će biti uspostavljena hipoteka</w:t>
      </w:r>
      <w:r>
        <w:rPr>
          <w:rFonts w:ascii="Garamond" w:hAnsi="Garamond"/>
          <w:sz w:val="24"/>
        </w:rPr>
        <w:t>.</w:t>
      </w:r>
    </w:p>
    <w:p w:rsidR="00B402A0" w:rsidRDefault="00B402A0" w:rsidP="005970A8">
      <w:pPr>
        <w:shd w:val="clear" w:color="auto" w:fill="FFFFFF"/>
        <w:tabs>
          <w:tab w:val="left" w:pos="0"/>
        </w:tabs>
        <w:spacing w:before="120" w:line="240" w:lineRule="exact"/>
        <w:ind w:right="14"/>
        <w:jc w:val="both"/>
        <w:rPr>
          <w:rFonts w:ascii="Garamond" w:hAnsi="Garamond"/>
          <w:sz w:val="24"/>
        </w:rPr>
      </w:pPr>
      <w:r w:rsidRPr="00835235">
        <w:rPr>
          <w:rFonts w:ascii="Garamond" w:hAnsi="Garamond"/>
          <w:sz w:val="24"/>
        </w:rPr>
        <w:t xml:space="preserve">Predmet hipoteke može biti nepokretnost upisana u listu nepokretnosti bez tereta i ograničenja i to: stambeni prostor, poslovni prostor, urbanistička parcela, a izuzetno, ukoliko </w:t>
      </w:r>
      <w:r>
        <w:rPr>
          <w:rFonts w:ascii="Garamond" w:hAnsi="Garamond"/>
          <w:sz w:val="24"/>
        </w:rPr>
        <w:t>Prijestonice</w:t>
      </w:r>
      <w:r w:rsidRPr="00835235">
        <w:rPr>
          <w:rFonts w:ascii="Garamond" w:hAnsi="Garamond"/>
          <w:sz w:val="24"/>
        </w:rPr>
        <w:t xml:space="preserve"> ima interesa i katastarska parcela na kojoj je planirana izgradnja objekata od opšteg interesa koji služe k</w:t>
      </w:r>
      <w:r>
        <w:rPr>
          <w:rFonts w:ascii="Garamond" w:hAnsi="Garamond"/>
          <w:sz w:val="24"/>
        </w:rPr>
        <w:t xml:space="preserve">omunalnom opremanju lokacije. </w:t>
      </w:r>
    </w:p>
    <w:p w:rsidR="00B402A0" w:rsidRPr="00F86AAF" w:rsidRDefault="00B402A0" w:rsidP="001F7B39">
      <w:pPr>
        <w:shd w:val="clear" w:color="auto" w:fill="FFFFFF"/>
        <w:spacing w:before="120" w:line="240" w:lineRule="exact"/>
        <w:ind w:right="10"/>
        <w:jc w:val="both"/>
        <w:rPr>
          <w:rFonts w:ascii="Garamond" w:hAnsi="Garamond"/>
          <w:sz w:val="24"/>
        </w:rPr>
      </w:pPr>
      <w:r>
        <w:rPr>
          <w:rFonts w:ascii="Garamond" w:hAnsi="Garamond"/>
          <w:sz w:val="24"/>
        </w:rPr>
        <w:t xml:space="preserve">                                                                                                                                                                                                                                                                                                                                                                                                                                                                                                                                                                                                                                                                                                                                                                                                                                                                                                                                                                                                                                                                                                                                                                                                                                                                                                                                                                                                                                                                                                                                                                                                                                                </w:t>
      </w:r>
    </w:p>
    <w:p w:rsidR="00B402A0" w:rsidRPr="00045A19" w:rsidRDefault="00B402A0">
      <w:pPr>
        <w:shd w:val="clear" w:color="auto" w:fill="FFFFFF"/>
        <w:spacing w:before="120" w:line="240" w:lineRule="exact"/>
        <w:ind w:left="5" w:right="5" w:firstLine="26"/>
        <w:jc w:val="center"/>
        <w:rPr>
          <w:rFonts w:ascii="Garamond" w:hAnsi="Garamond"/>
          <w:b/>
          <w:sz w:val="24"/>
        </w:rPr>
      </w:pPr>
      <w:r>
        <w:rPr>
          <w:rFonts w:ascii="Garamond" w:hAnsi="Garamond"/>
          <w:b/>
          <w:sz w:val="24"/>
        </w:rPr>
        <w:t>Član 15</w:t>
      </w:r>
    </w:p>
    <w:p w:rsidR="00B402A0" w:rsidRPr="00835235" w:rsidRDefault="00B402A0">
      <w:pPr>
        <w:shd w:val="clear" w:color="auto" w:fill="FFFFFF"/>
        <w:spacing w:before="120" w:line="240" w:lineRule="exact"/>
        <w:ind w:left="5" w:right="10" w:hanging="5"/>
        <w:jc w:val="both"/>
        <w:rPr>
          <w:rFonts w:ascii="Garamond" w:hAnsi="Garamond"/>
          <w:sz w:val="24"/>
        </w:rPr>
      </w:pPr>
      <w:r w:rsidRPr="00835235">
        <w:rPr>
          <w:rFonts w:ascii="Garamond" w:hAnsi="Garamond"/>
          <w:sz w:val="24"/>
        </w:rPr>
        <w:t>Ugovor o naknadi može se raskinuti na zahtjev investitora pod uslovom da investitor dostavi dokaz od Inspekcije za građevinarstvo da građenje objekta nije započeto u roku važenja građevinske dozvole</w:t>
      </w:r>
      <w:r>
        <w:rPr>
          <w:rFonts w:ascii="Garamond" w:hAnsi="Garamond"/>
          <w:sz w:val="24"/>
        </w:rPr>
        <w:t>.</w:t>
      </w:r>
    </w:p>
    <w:p w:rsidR="00B402A0" w:rsidRPr="00835235" w:rsidRDefault="00B402A0">
      <w:pPr>
        <w:shd w:val="clear" w:color="auto" w:fill="FFFFFF"/>
        <w:spacing w:before="120" w:line="240" w:lineRule="exact"/>
        <w:ind w:left="5" w:right="10" w:hanging="5"/>
        <w:jc w:val="both"/>
        <w:rPr>
          <w:rFonts w:ascii="Garamond" w:hAnsi="Garamond"/>
          <w:sz w:val="24"/>
        </w:rPr>
      </w:pPr>
      <w:r w:rsidRPr="00835235">
        <w:rPr>
          <w:rFonts w:ascii="Garamond" w:hAnsi="Garamond"/>
          <w:sz w:val="24"/>
        </w:rPr>
        <w:t xml:space="preserve">U slučaju raskida ugovora iz stava 1 ovog člana investitor nema pravo na povraćaj uplaćenih sredstava po tom ugovoru. </w:t>
      </w:r>
    </w:p>
    <w:p w:rsidR="00B402A0" w:rsidRPr="00835235" w:rsidRDefault="00B402A0" w:rsidP="005970A8">
      <w:pPr>
        <w:shd w:val="clear" w:color="auto" w:fill="FFFFFF"/>
        <w:spacing w:before="120" w:line="240" w:lineRule="exact"/>
        <w:ind w:left="5" w:right="10" w:hanging="5"/>
        <w:jc w:val="both"/>
        <w:rPr>
          <w:rFonts w:ascii="Garamond" w:hAnsi="Garamond"/>
          <w:sz w:val="24"/>
        </w:rPr>
      </w:pPr>
      <w:r w:rsidRPr="00835235">
        <w:rPr>
          <w:rFonts w:ascii="Garamond" w:hAnsi="Garamond"/>
          <w:sz w:val="24"/>
        </w:rPr>
        <w:t xml:space="preserve">Odredbe stava 1 i 2 ovog člana primjenjuju se i na ugovore zaključene prije stupanja na snagu ove odluke. </w:t>
      </w:r>
    </w:p>
    <w:p w:rsidR="00B402A0" w:rsidRPr="00045A19" w:rsidRDefault="00B402A0">
      <w:pPr>
        <w:shd w:val="clear" w:color="auto" w:fill="FFFFFF"/>
        <w:spacing w:before="120" w:line="240" w:lineRule="exact"/>
        <w:jc w:val="center"/>
        <w:rPr>
          <w:rFonts w:ascii="Garamond" w:hAnsi="Garamond"/>
          <w:b/>
          <w:sz w:val="24"/>
        </w:rPr>
      </w:pPr>
      <w:r w:rsidRPr="00045A19">
        <w:rPr>
          <w:rFonts w:ascii="Garamond" w:hAnsi="Garamond"/>
          <w:b/>
          <w:sz w:val="24"/>
        </w:rPr>
        <w:t>Č</w:t>
      </w:r>
      <w:r>
        <w:rPr>
          <w:rFonts w:ascii="Garamond" w:hAnsi="Garamond"/>
          <w:b/>
          <w:sz w:val="24"/>
        </w:rPr>
        <w:t>lan 16</w:t>
      </w:r>
    </w:p>
    <w:p w:rsidR="00B402A0" w:rsidRPr="00835235" w:rsidRDefault="00B402A0" w:rsidP="00AF0D7E">
      <w:pPr>
        <w:shd w:val="clear" w:color="auto" w:fill="FFFFFF"/>
        <w:spacing w:before="120" w:line="240" w:lineRule="exact"/>
        <w:ind w:right="19"/>
        <w:jc w:val="both"/>
        <w:rPr>
          <w:rFonts w:ascii="Garamond" w:hAnsi="Garamond"/>
          <w:sz w:val="24"/>
        </w:rPr>
      </w:pPr>
      <w:r w:rsidRPr="00835235">
        <w:rPr>
          <w:rFonts w:ascii="Garamond" w:hAnsi="Garamond"/>
          <w:sz w:val="24"/>
        </w:rPr>
        <w:t>Ukoliko investitor koji vrši izgradnju ili rekonstrukciju objekta ne obezbijedi potreban broj parkirno garažnih mjesta na urbanističkoj parceli ili u objektu</w:t>
      </w:r>
      <w:r>
        <w:rPr>
          <w:rFonts w:ascii="Garamond" w:hAnsi="Garamond"/>
          <w:sz w:val="24"/>
        </w:rPr>
        <w:t xml:space="preserve"> u skladu sa planskom dokumentacijom</w:t>
      </w:r>
      <w:r w:rsidRPr="00835235">
        <w:rPr>
          <w:rFonts w:ascii="Garamond" w:hAnsi="Garamond"/>
          <w:sz w:val="24"/>
        </w:rPr>
        <w:t>, ukupan iznos naknade za komunalno opremanje, uvećava se proporcionalno u zavisnosti od odnosa nedostajućih i potrebnih parkirno garažnih mjesta, a najviše do 50%.</w:t>
      </w:r>
    </w:p>
    <w:p w:rsidR="00B402A0" w:rsidRPr="00835235" w:rsidRDefault="00B402A0" w:rsidP="00915720">
      <w:pPr>
        <w:autoSpaceDE w:val="0"/>
        <w:autoSpaceDN w:val="0"/>
        <w:adjustRightInd w:val="0"/>
        <w:spacing w:before="40"/>
        <w:jc w:val="center"/>
        <w:rPr>
          <w:rFonts w:ascii="Garamond" w:hAnsi="Garamond" w:cs="Arial"/>
          <w:sz w:val="24"/>
        </w:rPr>
      </w:pPr>
      <w:r w:rsidRPr="00835235">
        <w:rPr>
          <w:rFonts w:ascii="Garamond" w:hAnsi="Garamond" w:cs="Arial"/>
          <w:b/>
          <w:bCs/>
          <w:sz w:val="24"/>
        </w:rPr>
        <w:t xml:space="preserve"> Član </w:t>
      </w:r>
      <w:r>
        <w:rPr>
          <w:rFonts w:ascii="Garamond" w:hAnsi="Garamond" w:cs="Arial"/>
          <w:b/>
          <w:bCs/>
          <w:sz w:val="24"/>
        </w:rPr>
        <w:t>17</w:t>
      </w:r>
    </w:p>
    <w:p w:rsidR="00B402A0" w:rsidRPr="00835235" w:rsidRDefault="00B402A0" w:rsidP="00915720">
      <w:pPr>
        <w:autoSpaceDE w:val="0"/>
        <w:autoSpaceDN w:val="0"/>
        <w:adjustRightInd w:val="0"/>
        <w:spacing w:before="40"/>
        <w:rPr>
          <w:rFonts w:ascii="Garamond" w:hAnsi="Garamond" w:cs="Arial"/>
          <w:sz w:val="24"/>
        </w:rPr>
      </w:pPr>
      <w:r w:rsidRPr="00835235">
        <w:rPr>
          <w:rFonts w:ascii="Garamond" w:hAnsi="Garamond" w:cs="Arial"/>
          <w:sz w:val="24"/>
        </w:rPr>
        <w:t xml:space="preserve">     Za izgradnju stambenog objekta kojim investitor rješava stambeno pitanje naknada se umanjuje 30 %.</w:t>
      </w:r>
    </w:p>
    <w:p w:rsidR="00B402A0" w:rsidRPr="00835235" w:rsidRDefault="00B402A0" w:rsidP="00915720">
      <w:pPr>
        <w:autoSpaceDE w:val="0"/>
        <w:autoSpaceDN w:val="0"/>
        <w:adjustRightInd w:val="0"/>
        <w:spacing w:before="40"/>
        <w:rPr>
          <w:rFonts w:ascii="Garamond" w:hAnsi="Garamond" w:cs="Arial"/>
          <w:sz w:val="24"/>
        </w:rPr>
      </w:pPr>
      <w:r w:rsidRPr="00835235">
        <w:rPr>
          <w:rFonts w:ascii="Garamond" w:hAnsi="Garamond" w:cs="Arial"/>
          <w:sz w:val="24"/>
        </w:rPr>
        <w:t xml:space="preserve">     Pod rješavanjem stambenog pitanja smatra se izgradnja samo stambenog objekta čija ukupna površina ne može biti veća od 100 m2.</w:t>
      </w:r>
    </w:p>
    <w:p w:rsidR="00B402A0" w:rsidRPr="00835235" w:rsidRDefault="00B402A0" w:rsidP="00915720">
      <w:pPr>
        <w:autoSpaceDE w:val="0"/>
        <w:autoSpaceDN w:val="0"/>
        <w:adjustRightInd w:val="0"/>
        <w:spacing w:before="40"/>
        <w:rPr>
          <w:rFonts w:ascii="Garamond" w:hAnsi="Garamond" w:cs="Arial"/>
          <w:sz w:val="24"/>
        </w:rPr>
      </w:pPr>
      <w:r w:rsidRPr="00835235">
        <w:rPr>
          <w:rFonts w:ascii="Garamond" w:hAnsi="Garamond" w:cs="Arial"/>
          <w:sz w:val="24"/>
        </w:rPr>
        <w:t xml:space="preserve">     Za stambeni prostor preko 100 m2 naknada se ne umanjuje.</w:t>
      </w:r>
    </w:p>
    <w:p w:rsidR="00B402A0" w:rsidRPr="00835235" w:rsidRDefault="00B402A0" w:rsidP="00915720">
      <w:pPr>
        <w:autoSpaceDE w:val="0"/>
        <w:autoSpaceDN w:val="0"/>
        <w:adjustRightInd w:val="0"/>
        <w:spacing w:before="40"/>
        <w:rPr>
          <w:rFonts w:ascii="Garamond" w:hAnsi="Garamond" w:cs="Arial"/>
          <w:sz w:val="24"/>
        </w:rPr>
      </w:pPr>
      <w:r w:rsidRPr="00835235">
        <w:rPr>
          <w:rFonts w:ascii="Garamond" w:hAnsi="Garamond" w:cs="Arial"/>
          <w:sz w:val="24"/>
        </w:rPr>
        <w:t xml:space="preserve">     Da bi investitor ostvario pravo iz stava 1. ovog člana dužan je priložiti:</w:t>
      </w:r>
    </w:p>
    <w:p w:rsidR="00B402A0" w:rsidRPr="00835235" w:rsidRDefault="00B402A0" w:rsidP="00915720">
      <w:pPr>
        <w:autoSpaceDE w:val="0"/>
        <w:autoSpaceDN w:val="0"/>
        <w:adjustRightInd w:val="0"/>
        <w:spacing w:before="40"/>
        <w:ind w:left="735" w:hanging="135"/>
        <w:rPr>
          <w:rFonts w:ascii="Garamond" w:hAnsi="Garamond" w:cs="Arial"/>
          <w:sz w:val="24"/>
        </w:rPr>
      </w:pPr>
      <w:r w:rsidRPr="00835235">
        <w:rPr>
          <w:rFonts w:ascii="Garamond" w:hAnsi="Garamond" w:cs="Arial"/>
          <w:sz w:val="24"/>
        </w:rPr>
        <w:t>- dokaz da ima prebivalište na području Prijestonice Cetinje,</w:t>
      </w:r>
    </w:p>
    <w:p w:rsidR="00B402A0" w:rsidRPr="00835235" w:rsidRDefault="00B402A0" w:rsidP="00915720">
      <w:pPr>
        <w:autoSpaceDE w:val="0"/>
        <w:autoSpaceDN w:val="0"/>
        <w:adjustRightInd w:val="0"/>
        <w:spacing w:before="40"/>
        <w:ind w:left="735" w:hanging="135"/>
        <w:rPr>
          <w:rFonts w:ascii="Garamond" w:hAnsi="Garamond" w:cs="Arial"/>
          <w:sz w:val="24"/>
        </w:rPr>
      </w:pPr>
      <w:r w:rsidRPr="00835235">
        <w:rPr>
          <w:rFonts w:ascii="Garamond" w:hAnsi="Garamond" w:cs="Arial"/>
          <w:sz w:val="24"/>
        </w:rPr>
        <w:t xml:space="preserve">- uvjerenje nadležnog organa da ni investitor ni članovi njegove kućne zajednice ne posjeduju drugu nekretninu </w:t>
      </w:r>
      <w:r>
        <w:rPr>
          <w:rFonts w:ascii="Garamond" w:hAnsi="Garamond" w:cs="Arial"/>
          <w:sz w:val="24"/>
        </w:rPr>
        <w:t xml:space="preserve"> (objekat) </w:t>
      </w:r>
      <w:r w:rsidRPr="00835235">
        <w:rPr>
          <w:rFonts w:ascii="Garamond" w:hAnsi="Garamond" w:cs="Arial"/>
          <w:sz w:val="24"/>
        </w:rPr>
        <w:t>u svojini na teritoriji Prijestonice Cetinje,</w:t>
      </w:r>
    </w:p>
    <w:p w:rsidR="00B402A0" w:rsidRPr="00835235" w:rsidRDefault="00B402A0" w:rsidP="00541BAB">
      <w:pPr>
        <w:autoSpaceDE w:val="0"/>
        <w:autoSpaceDN w:val="0"/>
        <w:adjustRightInd w:val="0"/>
        <w:spacing w:before="40"/>
        <w:ind w:left="735" w:hanging="135"/>
        <w:rPr>
          <w:rFonts w:ascii="Garamond" w:hAnsi="Garamond" w:cs="Arial"/>
          <w:sz w:val="24"/>
        </w:rPr>
      </w:pPr>
      <w:r w:rsidRPr="00835235">
        <w:rPr>
          <w:rFonts w:ascii="Garamond" w:hAnsi="Garamond" w:cs="Arial"/>
          <w:sz w:val="24"/>
        </w:rPr>
        <w:t>- uvjerenje izdato od organa</w:t>
      </w:r>
      <w:r>
        <w:rPr>
          <w:rFonts w:ascii="Garamond" w:hAnsi="Garamond" w:cs="Arial"/>
          <w:sz w:val="24"/>
        </w:rPr>
        <w:t xml:space="preserve"> uprave nadležnog za lokalne javne prihode</w:t>
      </w:r>
      <w:r w:rsidRPr="00835235">
        <w:rPr>
          <w:rFonts w:ascii="Garamond" w:hAnsi="Garamond" w:cs="Arial"/>
          <w:sz w:val="24"/>
        </w:rPr>
        <w:t>,</w:t>
      </w:r>
      <w:r>
        <w:rPr>
          <w:rFonts w:ascii="Garamond" w:hAnsi="Garamond" w:cs="Arial"/>
          <w:sz w:val="24"/>
        </w:rPr>
        <w:t xml:space="preserve"> da nema dugovanja prema Prijestonici po bilo kom osnovu,</w:t>
      </w:r>
    </w:p>
    <w:p w:rsidR="00B402A0" w:rsidRDefault="00B402A0" w:rsidP="00AF0D7E">
      <w:pPr>
        <w:autoSpaceDE w:val="0"/>
        <w:autoSpaceDN w:val="0"/>
        <w:adjustRightInd w:val="0"/>
        <w:spacing w:before="40"/>
        <w:ind w:left="735" w:hanging="135"/>
        <w:rPr>
          <w:rFonts w:ascii="Garamond" w:hAnsi="Garamond" w:cs="Arial"/>
          <w:sz w:val="24"/>
        </w:rPr>
      </w:pPr>
      <w:r w:rsidRPr="00835235">
        <w:rPr>
          <w:rFonts w:ascii="Garamond" w:hAnsi="Garamond" w:cs="Arial"/>
          <w:sz w:val="24"/>
        </w:rPr>
        <w:t>- uvjerenje o kućnoj zajednici.</w:t>
      </w:r>
    </w:p>
    <w:p w:rsidR="00B402A0" w:rsidRPr="00045A19" w:rsidRDefault="00B402A0">
      <w:pPr>
        <w:shd w:val="clear" w:color="auto" w:fill="FFFFFF"/>
        <w:spacing w:before="120" w:line="240" w:lineRule="exact"/>
        <w:ind w:left="5" w:firstLine="3953"/>
        <w:jc w:val="both"/>
        <w:rPr>
          <w:rFonts w:ascii="Garamond" w:hAnsi="Garamond"/>
          <w:b/>
          <w:sz w:val="24"/>
        </w:rPr>
      </w:pPr>
      <w:r>
        <w:rPr>
          <w:rFonts w:ascii="Garamond" w:hAnsi="Garamond"/>
          <w:b/>
          <w:sz w:val="24"/>
        </w:rPr>
        <w:t>Član 18</w:t>
      </w:r>
    </w:p>
    <w:p w:rsidR="00B402A0" w:rsidRPr="00835235" w:rsidRDefault="00B402A0" w:rsidP="00AF0D7E">
      <w:pPr>
        <w:shd w:val="clear" w:color="auto" w:fill="FFFFFF"/>
        <w:spacing w:before="120" w:line="240" w:lineRule="exact"/>
        <w:ind w:left="5" w:firstLine="26"/>
        <w:jc w:val="both"/>
        <w:rPr>
          <w:rFonts w:ascii="Garamond" w:hAnsi="Garamond"/>
          <w:sz w:val="24"/>
        </w:rPr>
      </w:pPr>
      <w:r w:rsidRPr="00835235">
        <w:rPr>
          <w:rFonts w:ascii="Garamond" w:hAnsi="Garamond"/>
          <w:sz w:val="24"/>
        </w:rPr>
        <w:tab/>
        <w:t>Nad</w:t>
      </w:r>
      <w:r>
        <w:rPr>
          <w:rFonts w:ascii="Garamond" w:hAnsi="Garamond"/>
          <w:sz w:val="24"/>
        </w:rPr>
        <w:t xml:space="preserve">zor nad sprovođenjem ove odluke </w:t>
      </w:r>
      <w:r w:rsidRPr="00835235">
        <w:rPr>
          <w:rFonts w:ascii="Garamond" w:hAnsi="Garamond"/>
          <w:sz w:val="24"/>
        </w:rPr>
        <w:t xml:space="preserve">vrši organ lokalne uprave nadležan za </w:t>
      </w:r>
      <w:r>
        <w:rPr>
          <w:rFonts w:ascii="Garamond" w:hAnsi="Garamond"/>
          <w:sz w:val="24"/>
        </w:rPr>
        <w:t>komunalne poslove i saobraćaj</w:t>
      </w:r>
      <w:r w:rsidRPr="00835235">
        <w:rPr>
          <w:rFonts w:ascii="Garamond" w:hAnsi="Garamond"/>
          <w:sz w:val="24"/>
        </w:rPr>
        <w:t>.</w:t>
      </w:r>
    </w:p>
    <w:p w:rsidR="00B402A0" w:rsidRPr="00835235" w:rsidRDefault="00B402A0">
      <w:pPr>
        <w:shd w:val="clear" w:color="auto" w:fill="FFFFFF"/>
        <w:spacing w:before="120" w:line="240" w:lineRule="exact"/>
        <w:ind w:left="31"/>
        <w:jc w:val="both"/>
        <w:rPr>
          <w:rFonts w:ascii="Garamond" w:hAnsi="Garamond"/>
          <w:sz w:val="24"/>
        </w:rPr>
      </w:pPr>
    </w:p>
    <w:p w:rsidR="00B402A0" w:rsidRPr="00045A19" w:rsidRDefault="00B402A0" w:rsidP="00835235">
      <w:pPr>
        <w:shd w:val="clear" w:color="auto" w:fill="FFFFFF"/>
        <w:spacing w:before="120" w:line="240" w:lineRule="exact"/>
        <w:ind w:left="360"/>
        <w:jc w:val="center"/>
        <w:rPr>
          <w:rFonts w:ascii="Garamond" w:hAnsi="Garamond"/>
          <w:b/>
          <w:sz w:val="24"/>
        </w:rPr>
      </w:pPr>
      <w:r w:rsidRPr="00045A19">
        <w:rPr>
          <w:rFonts w:ascii="Garamond" w:hAnsi="Garamond"/>
          <w:b/>
          <w:sz w:val="24"/>
        </w:rPr>
        <w:t>IV PRELAZNE I ZAVRŠNE ODREDBE</w:t>
      </w:r>
    </w:p>
    <w:p w:rsidR="00B402A0" w:rsidRPr="00835235" w:rsidRDefault="00B402A0">
      <w:pPr>
        <w:shd w:val="clear" w:color="auto" w:fill="FFFFFF"/>
        <w:spacing w:before="120" w:line="240" w:lineRule="exact"/>
        <w:ind w:left="5" w:firstLine="3773"/>
        <w:jc w:val="both"/>
        <w:rPr>
          <w:rFonts w:ascii="Garamond" w:hAnsi="Garamond"/>
          <w:sz w:val="24"/>
        </w:rPr>
      </w:pPr>
    </w:p>
    <w:p w:rsidR="00B402A0" w:rsidRPr="00045A19" w:rsidRDefault="00B402A0">
      <w:pPr>
        <w:shd w:val="clear" w:color="auto" w:fill="FFFFFF"/>
        <w:spacing w:before="120" w:line="240" w:lineRule="exact"/>
        <w:ind w:left="5" w:firstLine="3953"/>
        <w:jc w:val="both"/>
        <w:rPr>
          <w:rFonts w:ascii="Garamond" w:hAnsi="Garamond"/>
          <w:b/>
          <w:sz w:val="24"/>
        </w:rPr>
      </w:pPr>
      <w:r>
        <w:rPr>
          <w:rFonts w:ascii="Garamond" w:hAnsi="Garamond"/>
          <w:b/>
          <w:sz w:val="24"/>
        </w:rPr>
        <w:t>Član 19</w:t>
      </w:r>
    </w:p>
    <w:p w:rsidR="00B402A0" w:rsidRPr="00835235" w:rsidRDefault="00B402A0">
      <w:pPr>
        <w:shd w:val="clear" w:color="auto" w:fill="FFFFFF"/>
        <w:spacing w:before="120" w:line="240" w:lineRule="exact"/>
        <w:ind w:left="5" w:firstLine="26"/>
        <w:jc w:val="both"/>
        <w:rPr>
          <w:rFonts w:ascii="Garamond" w:hAnsi="Garamond"/>
          <w:sz w:val="24"/>
        </w:rPr>
      </w:pPr>
      <w:r w:rsidRPr="00835235">
        <w:rPr>
          <w:rFonts w:ascii="Garamond" w:hAnsi="Garamond"/>
          <w:sz w:val="24"/>
        </w:rPr>
        <w:tab/>
        <w:t>Postupci započeti do dana stupanja na snagu ove odluke u kojima nije zaključen ugovor, okončaće se po odredbama ove odluke ukoliko je to povoljnije za investitora.</w:t>
      </w:r>
    </w:p>
    <w:p w:rsidR="00B402A0" w:rsidRPr="00835235" w:rsidRDefault="00B402A0" w:rsidP="006A1E2E">
      <w:pPr>
        <w:shd w:val="clear" w:color="auto" w:fill="FFFFFF"/>
        <w:spacing w:before="120" w:line="240" w:lineRule="exact"/>
        <w:jc w:val="both"/>
        <w:rPr>
          <w:rFonts w:ascii="Garamond" w:hAnsi="Garamond"/>
          <w:sz w:val="24"/>
        </w:rPr>
      </w:pPr>
    </w:p>
    <w:p w:rsidR="00B402A0" w:rsidRDefault="00B402A0" w:rsidP="0013259B">
      <w:pPr>
        <w:shd w:val="clear" w:color="auto" w:fill="FFFFFF"/>
        <w:ind w:left="5" w:firstLine="3953"/>
        <w:jc w:val="both"/>
        <w:rPr>
          <w:rFonts w:ascii="Garamond" w:hAnsi="Garamond"/>
          <w:b/>
          <w:sz w:val="24"/>
        </w:rPr>
      </w:pPr>
      <w:r>
        <w:rPr>
          <w:rFonts w:ascii="Garamond" w:hAnsi="Garamond"/>
          <w:b/>
          <w:sz w:val="24"/>
        </w:rPr>
        <w:t>Član 20</w:t>
      </w:r>
    </w:p>
    <w:p w:rsidR="00B402A0" w:rsidRPr="00045A19" w:rsidRDefault="00B402A0" w:rsidP="0013259B">
      <w:pPr>
        <w:shd w:val="clear" w:color="auto" w:fill="FFFFFF"/>
        <w:ind w:left="5" w:firstLine="3953"/>
        <w:jc w:val="both"/>
        <w:rPr>
          <w:rFonts w:ascii="Garamond" w:hAnsi="Garamond"/>
          <w:b/>
          <w:sz w:val="24"/>
        </w:rPr>
      </w:pPr>
    </w:p>
    <w:p w:rsidR="00B402A0" w:rsidRDefault="00B402A0" w:rsidP="0013259B">
      <w:pPr>
        <w:autoSpaceDE w:val="0"/>
        <w:autoSpaceDN w:val="0"/>
        <w:adjustRightInd w:val="0"/>
        <w:jc w:val="both"/>
        <w:rPr>
          <w:rFonts w:ascii="Garamond" w:hAnsi="Garamond" w:cs="Arial"/>
          <w:bCs/>
          <w:sz w:val="24"/>
        </w:rPr>
      </w:pPr>
      <w:r w:rsidRPr="00835235">
        <w:rPr>
          <w:rFonts w:ascii="Garamond" w:hAnsi="Garamond"/>
          <w:sz w:val="24"/>
        </w:rPr>
        <w:t xml:space="preserve">Danom  stupanja na snagu ove odluke prestaje da važi  Odluka o naknadi  za komunalno opremanje građevinskog zemljišta ("Službeni list CG - Opštinski propisi", </w:t>
      </w:r>
      <w:r>
        <w:rPr>
          <w:rFonts w:ascii="Garamond" w:hAnsi="Garamond" w:cs="Arial"/>
          <w:bCs/>
          <w:sz w:val="24"/>
        </w:rPr>
        <w:t xml:space="preserve">br. 20/10, 37/10 i </w:t>
      </w:r>
      <w:r w:rsidRPr="00835235">
        <w:rPr>
          <w:rFonts w:ascii="Garamond" w:hAnsi="Garamond" w:cs="Arial"/>
          <w:bCs/>
          <w:sz w:val="24"/>
        </w:rPr>
        <w:t xml:space="preserve"> 29/12)</w:t>
      </w:r>
      <w:r>
        <w:rPr>
          <w:rFonts w:ascii="Garamond" w:hAnsi="Garamond" w:cs="Arial"/>
          <w:bCs/>
          <w:sz w:val="24"/>
        </w:rPr>
        <w:t>.</w:t>
      </w:r>
    </w:p>
    <w:p w:rsidR="00B402A0" w:rsidRPr="00AF0D7E" w:rsidRDefault="00B402A0" w:rsidP="00AF0D7E">
      <w:pPr>
        <w:autoSpaceDE w:val="0"/>
        <w:autoSpaceDN w:val="0"/>
        <w:adjustRightInd w:val="0"/>
        <w:spacing w:before="40"/>
        <w:jc w:val="both"/>
        <w:rPr>
          <w:rFonts w:ascii="Garamond" w:hAnsi="Garamond" w:cs="Arial"/>
          <w:sz w:val="24"/>
        </w:rPr>
      </w:pPr>
    </w:p>
    <w:p w:rsidR="00B402A0" w:rsidRPr="00045A19" w:rsidRDefault="00B402A0">
      <w:pPr>
        <w:shd w:val="clear" w:color="auto" w:fill="FFFFFF"/>
        <w:spacing w:before="120" w:line="240" w:lineRule="exact"/>
        <w:ind w:left="10" w:firstLine="3948"/>
        <w:jc w:val="both"/>
        <w:rPr>
          <w:rFonts w:ascii="Garamond" w:hAnsi="Garamond"/>
          <w:b/>
          <w:sz w:val="24"/>
        </w:rPr>
      </w:pPr>
      <w:r>
        <w:rPr>
          <w:rFonts w:ascii="Garamond" w:hAnsi="Garamond"/>
          <w:b/>
          <w:sz w:val="24"/>
        </w:rPr>
        <w:t>Član 21</w:t>
      </w:r>
    </w:p>
    <w:p w:rsidR="00B402A0" w:rsidRPr="00835235" w:rsidRDefault="00B402A0" w:rsidP="00F86AAF">
      <w:pPr>
        <w:shd w:val="clear" w:color="auto" w:fill="FFFFFF"/>
        <w:spacing w:before="120" w:line="240" w:lineRule="exact"/>
        <w:ind w:left="10" w:hanging="10"/>
        <w:jc w:val="both"/>
        <w:rPr>
          <w:rFonts w:ascii="Garamond" w:hAnsi="Garamond"/>
          <w:sz w:val="24"/>
        </w:rPr>
      </w:pPr>
      <w:r w:rsidRPr="00835235">
        <w:rPr>
          <w:rFonts w:ascii="Garamond" w:hAnsi="Garamond"/>
          <w:sz w:val="24"/>
        </w:rPr>
        <w:t>Ova odluka stupa na snagu osmog dana od dana objavljivanja u "Službenom listu CG - Opštinski propisi".</w:t>
      </w:r>
    </w:p>
    <w:p w:rsidR="00B402A0" w:rsidRPr="00835235" w:rsidRDefault="00B402A0">
      <w:pPr>
        <w:shd w:val="clear" w:color="auto" w:fill="FFFFFF"/>
        <w:spacing w:before="120" w:line="240" w:lineRule="exact"/>
        <w:ind w:left="360" w:right="5069"/>
        <w:jc w:val="both"/>
        <w:rPr>
          <w:rFonts w:ascii="Garamond" w:hAnsi="Garamond"/>
          <w:sz w:val="24"/>
        </w:rPr>
      </w:pPr>
      <w:r>
        <w:rPr>
          <w:rFonts w:ascii="Garamond" w:hAnsi="Garamond"/>
          <w:sz w:val="24"/>
        </w:rPr>
        <w:t>Broj: 01-30/14-125</w:t>
      </w:r>
    </w:p>
    <w:p w:rsidR="00B402A0" w:rsidRPr="006A1E2E" w:rsidRDefault="00B402A0" w:rsidP="006A1E2E">
      <w:pPr>
        <w:shd w:val="clear" w:color="auto" w:fill="FFFFFF"/>
        <w:spacing w:before="120" w:line="240" w:lineRule="exact"/>
        <w:ind w:left="360" w:right="5069"/>
        <w:jc w:val="both"/>
        <w:rPr>
          <w:rFonts w:ascii="Garamond" w:hAnsi="Garamond"/>
          <w:sz w:val="24"/>
        </w:rPr>
      </w:pPr>
      <w:r w:rsidRPr="00835235">
        <w:rPr>
          <w:rFonts w:ascii="Garamond" w:hAnsi="Garamond"/>
          <w:sz w:val="24"/>
        </w:rPr>
        <w:t>Cetinje</w:t>
      </w:r>
      <w:r>
        <w:rPr>
          <w:rFonts w:ascii="Garamond" w:hAnsi="Garamond"/>
          <w:sz w:val="24"/>
        </w:rPr>
        <w:t>, 27 i 31.03. 2014</w:t>
      </w:r>
      <w:r w:rsidRPr="00835235">
        <w:rPr>
          <w:rFonts w:ascii="Garamond" w:hAnsi="Garamond"/>
          <w:sz w:val="24"/>
        </w:rPr>
        <w:t>. godine</w:t>
      </w:r>
    </w:p>
    <w:p w:rsidR="00B402A0" w:rsidRDefault="00B402A0" w:rsidP="00835235">
      <w:pPr>
        <w:shd w:val="clear" w:color="auto" w:fill="FFFFFF"/>
        <w:spacing w:before="120" w:line="240" w:lineRule="exact"/>
        <w:ind w:left="2592"/>
        <w:rPr>
          <w:rFonts w:ascii="Garamond" w:hAnsi="Garamond"/>
          <w:b/>
          <w:sz w:val="28"/>
          <w:szCs w:val="28"/>
        </w:rPr>
      </w:pPr>
    </w:p>
    <w:p w:rsidR="00B402A0" w:rsidRDefault="00B402A0" w:rsidP="00835235">
      <w:pPr>
        <w:shd w:val="clear" w:color="auto" w:fill="FFFFFF"/>
        <w:spacing w:before="120" w:line="240" w:lineRule="exact"/>
        <w:ind w:left="2592"/>
        <w:rPr>
          <w:rFonts w:ascii="Garamond" w:hAnsi="Garamond"/>
          <w:b/>
          <w:sz w:val="28"/>
          <w:szCs w:val="28"/>
        </w:rPr>
      </w:pPr>
      <w:r w:rsidRPr="00045A19">
        <w:rPr>
          <w:rFonts w:ascii="Garamond" w:hAnsi="Garamond"/>
          <w:b/>
          <w:sz w:val="28"/>
          <w:szCs w:val="28"/>
        </w:rPr>
        <w:t>Skupština Prijestonice Cetinje</w:t>
      </w:r>
    </w:p>
    <w:p w:rsidR="00B402A0" w:rsidRPr="00045A19" w:rsidRDefault="00B402A0" w:rsidP="00835235">
      <w:pPr>
        <w:shd w:val="clear" w:color="auto" w:fill="FFFFFF"/>
        <w:spacing w:before="120" w:line="240" w:lineRule="exact"/>
        <w:ind w:left="2592"/>
        <w:rPr>
          <w:rFonts w:ascii="Garamond" w:hAnsi="Garamond"/>
          <w:b/>
          <w:sz w:val="28"/>
          <w:szCs w:val="28"/>
        </w:rPr>
      </w:pPr>
    </w:p>
    <w:p w:rsidR="00B402A0" w:rsidRPr="00DE6CFA" w:rsidRDefault="00B402A0" w:rsidP="00DE6CFA">
      <w:pPr>
        <w:shd w:val="clear" w:color="auto" w:fill="FFFFFF"/>
        <w:spacing w:before="120" w:line="240" w:lineRule="exact"/>
        <w:ind w:right="121"/>
        <w:jc w:val="center"/>
        <w:rPr>
          <w:rFonts w:ascii="Garamond" w:hAnsi="Garamond"/>
          <w:b/>
          <w:sz w:val="28"/>
          <w:szCs w:val="28"/>
        </w:rPr>
      </w:pPr>
      <w:r>
        <w:rPr>
          <w:rFonts w:ascii="Garamond" w:hAnsi="Garamond"/>
          <w:b/>
          <w:sz w:val="28"/>
          <w:szCs w:val="28"/>
        </w:rPr>
        <w:t xml:space="preserve">                                                                                   </w:t>
      </w:r>
      <w:r w:rsidRPr="00DE6CFA">
        <w:rPr>
          <w:rFonts w:ascii="Garamond" w:hAnsi="Garamond"/>
          <w:b/>
          <w:sz w:val="28"/>
          <w:szCs w:val="28"/>
        </w:rPr>
        <w:t>Predsjednik Skupštine</w:t>
      </w:r>
    </w:p>
    <w:p w:rsidR="00B402A0" w:rsidRPr="00B06034" w:rsidRDefault="00B402A0" w:rsidP="00B06034">
      <w:pPr>
        <w:shd w:val="clear" w:color="auto" w:fill="FFFFFF"/>
        <w:spacing w:before="120" w:line="240" w:lineRule="exact"/>
        <w:ind w:right="-21"/>
        <w:jc w:val="center"/>
        <w:rPr>
          <w:rFonts w:ascii="Garamond" w:hAnsi="Garamond"/>
          <w:b/>
          <w:sz w:val="28"/>
          <w:szCs w:val="28"/>
        </w:rPr>
      </w:pPr>
      <w:r>
        <w:rPr>
          <w:rFonts w:ascii="Garamond" w:hAnsi="Garamond"/>
          <w:b/>
          <w:sz w:val="28"/>
          <w:szCs w:val="28"/>
        </w:rPr>
        <w:t xml:space="preserve">                                                                                Jovan Martinović</w:t>
      </w:r>
      <w:bookmarkStart w:id="0" w:name="_GoBack"/>
      <w:bookmarkEnd w:id="0"/>
    </w:p>
    <w:sectPr w:rsidR="00B402A0" w:rsidRPr="00B06034" w:rsidSect="00701966">
      <w:pgSz w:w="11900" w:h="16840"/>
      <w:pgMar w:top="851" w:right="1639" w:bottom="709" w:left="1635" w:header="72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A0" w:rsidRDefault="00B402A0">
      <w:r>
        <w:separator/>
      </w:r>
    </w:p>
  </w:endnote>
  <w:endnote w:type="continuationSeparator" w:id="1">
    <w:p w:rsidR="00B402A0" w:rsidRDefault="00B4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72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A0" w:rsidRDefault="00B402A0">
      <w:r>
        <w:separator/>
      </w:r>
    </w:p>
  </w:footnote>
  <w:footnote w:type="continuationSeparator" w:id="1">
    <w:p w:rsidR="00B402A0" w:rsidRDefault="00B40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48"/>
        </w:tabs>
        <w:ind w:left="148"/>
      </w:pPr>
      <w:rPr>
        <w:rFonts w:hint="default"/>
        <w:color w:val="000000"/>
        <w:position w:val="0"/>
        <w:sz w:val="20"/>
      </w:rPr>
    </w:lvl>
    <w:lvl w:ilvl="1">
      <w:start w:val="1"/>
      <w:numFmt w:val="bullet"/>
      <w:suff w:val="nothing"/>
      <w:lvlText w:val="*"/>
      <w:lvlJc w:val="left"/>
      <w:rPr>
        <w:rFonts w:hint="default"/>
        <w:color w:val="000000"/>
        <w:position w:val="0"/>
        <w:sz w:val="20"/>
      </w:rPr>
    </w:lvl>
    <w:lvl w:ilvl="2">
      <w:start w:val="1"/>
      <w:numFmt w:val="bullet"/>
      <w:suff w:val="nothing"/>
      <w:lvlText w:val="*"/>
      <w:lvlJc w:val="left"/>
      <w:rPr>
        <w:rFonts w:hint="default"/>
        <w:color w:val="000000"/>
        <w:position w:val="0"/>
        <w:sz w:val="20"/>
      </w:rPr>
    </w:lvl>
    <w:lvl w:ilvl="3">
      <w:start w:val="1"/>
      <w:numFmt w:val="bullet"/>
      <w:suff w:val="nothing"/>
      <w:lvlText w:val="*"/>
      <w:lvlJc w:val="left"/>
      <w:rPr>
        <w:rFonts w:hint="default"/>
        <w:color w:val="000000"/>
        <w:position w:val="0"/>
        <w:sz w:val="20"/>
      </w:rPr>
    </w:lvl>
    <w:lvl w:ilvl="4">
      <w:start w:val="1"/>
      <w:numFmt w:val="bullet"/>
      <w:suff w:val="nothing"/>
      <w:lvlText w:val="*"/>
      <w:lvlJc w:val="left"/>
      <w:rPr>
        <w:rFonts w:hint="default"/>
        <w:color w:val="000000"/>
        <w:position w:val="0"/>
        <w:sz w:val="20"/>
      </w:rPr>
    </w:lvl>
    <w:lvl w:ilvl="5">
      <w:start w:val="1"/>
      <w:numFmt w:val="bullet"/>
      <w:suff w:val="nothing"/>
      <w:lvlText w:val="*"/>
      <w:lvlJc w:val="left"/>
      <w:rPr>
        <w:rFonts w:hint="default"/>
        <w:color w:val="000000"/>
        <w:position w:val="0"/>
        <w:sz w:val="20"/>
      </w:rPr>
    </w:lvl>
    <w:lvl w:ilvl="6">
      <w:start w:val="1"/>
      <w:numFmt w:val="bullet"/>
      <w:suff w:val="nothing"/>
      <w:lvlText w:val="*"/>
      <w:lvlJc w:val="left"/>
      <w:rPr>
        <w:rFonts w:hint="default"/>
        <w:color w:val="000000"/>
        <w:position w:val="0"/>
        <w:sz w:val="20"/>
      </w:rPr>
    </w:lvl>
    <w:lvl w:ilvl="7">
      <w:start w:val="1"/>
      <w:numFmt w:val="bullet"/>
      <w:suff w:val="nothing"/>
      <w:lvlText w:val="*"/>
      <w:lvlJc w:val="left"/>
      <w:rPr>
        <w:rFonts w:hint="default"/>
        <w:color w:val="000000"/>
        <w:position w:val="0"/>
        <w:sz w:val="20"/>
      </w:rPr>
    </w:lvl>
    <w:lvl w:ilvl="8">
      <w:start w:val="1"/>
      <w:numFmt w:val="bullet"/>
      <w:suff w:val="nothing"/>
      <w:lvlText w:val="*"/>
      <w:lvlJc w:val="left"/>
      <w:rPr>
        <w:rFont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140"/>
        </w:tabs>
        <w:ind w:left="14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2">
    <w:nsid w:val="3BE626C0"/>
    <w:multiLevelType w:val="hybridMultilevel"/>
    <w:tmpl w:val="9F20F68A"/>
    <w:lvl w:ilvl="0" w:tplc="2F808AB4">
      <w:start w:val="50"/>
      <w:numFmt w:val="bullet"/>
      <w:lvlText w:val="-"/>
      <w:lvlJc w:val="left"/>
      <w:pPr>
        <w:ind w:left="960" w:hanging="360"/>
      </w:pPr>
      <w:rPr>
        <w:rFonts w:ascii="Garamond" w:eastAsia="Times New Roman" w:hAnsi="Garamond"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23B0"/>
    <w:multiLevelType w:val="hybridMultilevel"/>
    <w:tmpl w:val="75248128"/>
    <w:lvl w:ilvl="0" w:tplc="13061824">
      <w:start w:val="5"/>
      <w:numFmt w:val="bullet"/>
      <w:lvlText w:val="-"/>
      <w:lvlJc w:val="left"/>
      <w:pPr>
        <w:ind w:left="644" w:hanging="360"/>
      </w:pPr>
      <w:rPr>
        <w:rFonts w:ascii="Garamond" w:eastAsia="Times New Roman" w:hAnsi="Garamond"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47A257C8"/>
    <w:multiLevelType w:val="hybridMultilevel"/>
    <w:tmpl w:val="B7967524"/>
    <w:lvl w:ilvl="0" w:tplc="2F808AB4">
      <w:start w:val="50"/>
      <w:numFmt w:val="bullet"/>
      <w:lvlText w:val="-"/>
      <w:lvlJc w:val="left"/>
      <w:pPr>
        <w:ind w:left="1965" w:hanging="360"/>
      </w:pPr>
      <w:rPr>
        <w:rFonts w:ascii="Garamond" w:eastAsia="Times New Roman" w:hAnsi="Garamond" w:hint="default"/>
        <w:sz w:val="24"/>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nsid w:val="4D295739"/>
    <w:multiLevelType w:val="hybridMultilevel"/>
    <w:tmpl w:val="80BAFE82"/>
    <w:lvl w:ilvl="0" w:tplc="2F808AB4">
      <w:start w:val="50"/>
      <w:numFmt w:val="bullet"/>
      <w:lvlText w:val="-"/>
      <w:lvlJc w:val="left"/>
      <w:pPr>
        <w:ind w:left="960" w:hanging="360"/>
      </w:pPr>
      <w:rPr>
        <w:rFonts w:ascii="Garamond" w:eastAsia="Times New Roman" w:hAnsi="Garamond" w:hint="default"/>
        <w:sz w:val="24"/>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4EEF75DC"/>
    <w:multiLevelType w:val="hybridMultilevel"/>
    <w:tmpl w:val="C7C675FE"/>
    <w:lvl w:ilvl="0" w:tplc="FB48BF16">
      <w:numFmt w:val="bullet"/>
      <w:lvlText w:val="-"/>
      <w:lvlJc w:val="left"/>
      <w:pPr>
        <w:ind w:left="960" w:hanging="360"/>
      </w:pPr>
      <w:rPr>
        <w:rFonts w:ascii="Garamond" w:eastAsia="Times New Roman" w:hAnsi="Garamond" w:hint="default"/>
        <w:color w:val="auto"/>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F56"/>
    <w:rsid w:val="00006362"/>
    <w:rsid w:val="00045A19"/>
    <w:rsid w:val="00051F4E"/>
    <w:rsid w:val="00054048"/>
    <w:rsid w:val="00061CD8"/>
    <w:rsid w:val="00077C22"/>
    <w:rsid w:val="00083265"/>
    <w:rsid w:val="000D2BA3"/>
    <w:rsid w:val="000D499A"/>
    <w:rsid w:val="000E36F0"/>
    <w:rsid w:val="000E5A3D"/>
    <w:rsid w:val="00113F5D"/>
    <w:rsid w:val="0013259B"/>
    <w:rsid w:val="00132765"/>
    <w:rsid w:val="0013296D"/>
    <w:rsid w:val="00134895"/>
    <w:rsid w:val="0013656F"/>
    <w:rsid w:val="001409D9"/>
    <w:rsid w:val="001450C8"/>
    <w:rsid w:val="00153E05"/>
    <w:rsid w:val="001B31F8"/>
    <w:rsid w:val="001C6DD9"/>
    <w:rsid w:val="001E3D01"/>
    <w:rsid w:val="001F1599"/>
    <w:rsid w:val="001F7B39"/>
    <w:rsid w:val="00230165"/>
    <w:rsid w:val="002414CA"/>
    <w:rsid w:val="00255AB9"/>
    <w:rsid w:val="002577F5"/>
    <w:rsid w:val="00282F9B"/>
    <w:rsid w:val="002C2090"/>
    <w:rsid w:val="002E1D16"/>
    <w:rsid w:val="002E5391"/>
    <w:rsid w:val="00300DBA"/>
    <w:rsid w:val="00314F5F"/>
    <w:rsid w:val="003421FF"/>
    <w:rsid w:val="00343079"/>
    <w:rsid w:val="00377F28"/>
    <w:rsid w:val="003E4A53"/>
    <w:rsid w:val="004119C8"/>
    <w:rsid w:val="004170A2"/>
    <w:rsid w:val="00434F56"/>
    <w:rsid w:val="00460B08"/>
    <w:rsid w:val="0049684B"/>
    <w:rsid w:val="004A356E"/>
    <w:rsid w:val="004D1B3C"/>
    <w:rsid w:val="004E0C4B"/>
    <w:rsid w:val="00515DE2"/>
    <w:rsid w:val="0054150F"/>
    <w:rsid w:val="00541BAB"/>
    <w:rsid w:val="005821CE"/>
    <w:rsid w:val="005951B0"/>
    <w:rsid w:val="005970A8"/>
    <w:rsid w:val="005C29AC"/>
    <w:rsid w:val="005F6A8F"/>
    <w:rsid w:val="005F70E4"/>
    <w:rsid w:val="006303B1"/>
    <w:rsid w:val="00657274"/>
    <w:rsid w:val="00660A0D"/>
    <w:rsid w:val="00695D5B"/>
    <w:rsid w:val="00696BC2"/>
    <w:rsid w:val="006A1E2E"/>
    <w:rsid w:val="006A55B4"/>
    <w:rsid w:val="006C404F"/>
    <w:rsid w:val="006F2286"/>
    <w:rsid w:val="006F3C81"/>
    <w:rsid w:val="00701966"/>
    <w:rsid w:val="007510B6"/>
    <w:rsid w:val="0076104B"/>
    <w:rsid w:val="0077275D"/>
    <w:rsid w:val="00775BBD"/>
    <w:rsid w:val="0079153C"/>
    <w:rsid w:val="007A20F3"/>
    <w:rsid w:val="0081448B"/>
    <w:rsid w:val="0082544D"/>
    <w:rsid w:val="0082578C"/>
    <w:rsid w:val="00835235"/>
    <w:rsid w:val="008460C4"/>
    <w:rsid w:val="00861033"/>
    <w:rsid w:val="00876562"/>
    <w:rsid w:val="00891CF4"/>
    <w:rsid w:val="008C6480"/>
    <w:rsid w:val="008E47E0"/>
    <w:rsid w:val="008F4D63"/>
    <w:rsid w:val="00914342"/>
    <w:rsid w:val="00915720"/>
    <w:rsid w:val="00915F37"/>
    <w:rsid w:val="009254C7"/>
    <w:rsid w:val="00941C97"/>
    <w:rsid w:val="00954C4E"/>
    <w:rsid w:val="00957F16"/>
    <w:rsid w:val="0098321E"/>
    <w:rsid w:val="0098595E"/>
    <w:rsid w:val="009A7F37"/>
    <w:rsid w:val="009E4717"/>
    <w:rsid w:val="00A037E5"/>
    <w:rsid w:val="00A302FA"/>
    <w:rsid w:val="00A343FD"/>
    <w:rsid w:val="00A360CD"/>
    <w:rsid w:val="00A43782"/>
    <w:rsid w:val="00A85244"/>
    <w:rsid w:val="00AE6386"/>
    <w:rsid w:val="00AF0D7E"/>
    <w:rsid w:val="00AF7387"/>
    <w:rsid w:val="00AF7B20"/>
    <w:rsid w:val="00B06034"/>
    <w:rsid w:val="00B106D4"/>
    <w:rsid w:val="00B136F4"/>
    <w:rsid w:val="00B149B1"/>
    <w:rsid w:val="00B159F0"/>
    <w:rsid w:val="00B16CFE"/>
    <w:rsid w:val="00B24662"/>
    <w:rsid w:val="00B27538"/>
    <w:rsid w:val="00B363FA"/>
    <w:rsid w:val="00B402A0"/>
    <w:rsid w:val="00B429F5"/>
    <w:rsid w:val="00B42B43"/>
    <w:rsid w:val="00B52F6C"/>
    <w:rsid w:val="00B800AD"/>
    <w:rsid w:val="00B82084"/>
    <w:rsid w:val="00B85444"/>
    <w:rsid w:val="00BA225E"/>
    <w:rsid w:val="00BA4321"/>
    <w:rsid w:val="00BA644C"/>
    <w:rsid w:val="00BB4A32"/>
    <w:rsid w:val="00BC1A76"/>
    <w:rsid w:val="00BE17D3"/>
    <w:rsid w:val="00BE3851"/>
    <w:rsid w:val="00BF3C1B"/>
    <w:rsid w:val="00C03B49"/>
    <w:rsid w:val="00C33CCD"/>
    <w:rsid w:val="00C37944"/>
    <w:rsid w:val="00C45B44"/>
    <w:rsid w:val="00C66B12"/>
    <w:rsid w:val="00C74080"/>
    <w:rsid w:val="00C825A0"/>
    <w:rsid w:val="00C8537A"/>
    <w:rsid w:val="00CA1C8C"/>
    <w:rsid w:val="00CB3214"/>
    <w:rsid w:val="00CF44B2"/>
    <w:rsid w:val="00D041D3"/>
    <w:rsid w:val="00D15AAC"/>
    <w:rsid w:val="00D57CC0"/>
    <w:rsid w:val="00D91A48"/>
    <w:rsid w:val="00DB04CA"/>
    <w:rsid w:val="00DC56AD"/>
    <w:rsid w:val="00DD51EE"/>
    <w:rsid w:val="00DE26D6"/>
    <w:rsid w:val="00DE6CFA"/>
    <w:rsid w:val="00DF5E7A"/>
    <w:rsid w:val="00E415C1"/>
    <w:rsid w:val="00E44316"/>
    <w:rsid w:val="00E47360"/>
    <w:rsid w:val="00E5331A"/>
    <w:rsid w:val="00E73535"/>
    <w:rsid w:val="00EC0AD4"/>
    <w:rsid w:val="00EF1450"/>
    <w:rsid w:val="00EF15AF"/>
    <w:rsid w:val="00F122E8"/>
    <w:rsid w:val="00F1612C"/>
    <w:rsid w:val="00F202CA"/>
    <w:rsid w:val="00F72671"/>
    <w:rsid w:val="00F819A0"/>
    <w:rsid w:val="00F8215F"/>
    <w:rsid w:val="00F82D7D"/>
    <w:rsid w:val="00F86AAF"/>
    <w:rsid w:val="00F94617"/>
    <w:rsid w:val="00FD1BDA"/>
    <w:rsid w:val="00FF1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595E"/>
    <w:pPr>
      <w:widowControl w:val="0"/>
    </w:pPr>
    <w:rPr>
      <w:color w:val="000000"/>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uiPriority w:val="99"/>
    <w:rsid w:val="0098595E"/>
    <w:pPr>
      <w:keepNext/>
      <w:outlineLvl w:val="1"/>
    </w:pPr>
    <w:rPr>
      <w:rFonts w:ascii="Helvetica" w:hAnsi="Helvetica"/>
      <w:b/>
      <w:color w:val="000000"/>
      <w:sz w:val="24"/>
      <w:szCs w:val="20"/>
    </w:rPr>
  </w:style>
  <w:style w:type="paragraph" w:customStyle="1" w:styleId="FreeForm">
    <w:name w:val="Free Form"/>
    <w:uiPriority w:val="99"/>
    <w:rsid w:val="0098595E"/>
    <w:rPr>
      <w:color w:val="000000"/>
      <w:sz w:val="20"/>
      <w:szCs w:val="20"/>
    </w:rPr>
  </w:style>
  <w:style w:type="paragraph" w:customStyle="1" w:styleId="Body">
    <w:name w:val="Body"/>
    <w:uiPriority w:val="99"/>
    <w:rsid w:val="0098595E"/>
    <w:rPr>
      <w:rFonts w:ascii="Helvetica" w:hAnsi="Helvetica"/>
      <w:color w:val="000000"/>
      <w:sz w:val="24"/>
      <w:szCs w:val="20"/>
    </w:rPr>
  </w:style>
  <w:style w:type="character" w:styleId="CommentReference">
    <w:name w:val="annotation reference"/>
    <w:basedOn w:val="DefaultParagraphFont"/>
    <w:uiPriority w:val="99"/>
    <w:locked/>
    <w:rsid w:val="00C45B44"/>
    <w:rPr>
      <w:rFonts w:cs="Times New Roman"/>
      <w:sz w:val="16"/>
      <w:szCs w:val="16"/>
    </w:rPr>
  </w:style>
  <w:style w:type="paragraph" w:styleId="CommentText">
    <w:name w:val="annotation text"/>
    <w:basedOn w:val="Normal"/>
    <w:link w:val="CommentTextChar"/>
    <w:uiPriority w:val="99"/>
    <w:locked/>
    <w:rsid w:val="00C45B44"/>
    <w:rPr>
      <w:szCs w:val="20"/>
    </w:rPr>
  </w:style>
  <w:style w:type="character" w:customStyle="1" w:styleId="CommentTextChar">
    <w:name w:val="Comment Text Char"/>
    <w:basedOn w:val="DefaultParagraphFont"/>
    <w:link w:val="CommentText"/>
    <w:uiPriority w:val="99"/>
    <w:locked/>
    <w:rsid w:val="00C45B44"/>
    <w:rPr>
      <w:rFonts w:eastAsia="Times New Roman" w:cs="Times New Roman"/>
      <w:color w:val="000000"/>
    </w:rPr>
  </w:style>
  <w:style w:type="paragraph" w:styleId="CommentSubject">
    <w:name w:val="annotation subject"/>
    <w:basedOn w:val="CommentText"/>
    <w:next w:val="CommentText"/>
    <w:link w:val="CommentSubjectChar"/>
    <w:uiPriority w:val="99"/>
    <w:locked/>
    <w:rsid w:val="00C45B44"/>
    <w:rPr>
      <w:b/>
      <w:bCs/>
    </w:rPr>
  </w:style>
  <w:style w:type="character" w:customStyle="1" w:styleId="CommentSubjectChar">
    <w:name w:val="Comment Subject Char"/>
    <w:basedOn w:val="CommentTextChar"/>
    <w:link w:val="CommentSubject"/>
    <w:uiPriority w:val="99"/>
    <w:locked/>
    <w:rsid w:val="00C45B44"/>
    <w:rPr>
      <w:b/>
      <w:bCs/>
    </w:rPr>
  </w:style>
  <w:style w:type="paragraph" w:styleId="BalloonText">
    <w:name w:val="Balloon Text"/>
    <w:basedOn w:val="Normal"/>
    <w:link w:val="BalloonTextChar"/>
    <w:uiPriority w:val="99"/>
    <w:locked/>
    <w:rsid w:val="00C45B44"/>
    <w:rPr>
      <w:rFonts w:ascii="Tahoma" w:hAnsi="Tahoma" w:cs="Tahoma"/>
      <w:sz w:val="16"/>
      <w:szCs w:val="16"/>
    </w:rPr>
  </w:style>
  <w:style w:type="character" w:customStyle="1" w:styleId="BalloonTextChar">
    <w:name w:val="Balloon Text Char"/>
    <w:basedOn w:val="DefaultParagraphFont"/>
    <w:link w:val="BalloonText"/>
    <w:uiPriority w:val="99"/>
    <w:locked/>
    <w:rsid w:val="00C45B44"/>
    <w:rPr>
      <w:rFonts w:ascii="Tahoma" w:eastAsia="Times New Roman" w:hAnsi="Tahoma" w:cs="Tahoma"/>
      <w:color w:val="000000"/>
      <w:sz w:val="16"/>
      <w:szCs w:val="16"/>
    </w:rPr>
  </w:style>
  <w:style w:type="paragraph" w:styleId="Header">
    <w:name w:val="header"/>
    <w:basedOn w:val="Normal"/>
    <w:link w:val="HeaderChar"/>
    <w:uiPriority w:val="99"/>
    <w:locked/>
    <w:rsid w:val="00CB3214"/>
    <w:pPr>
      <w:tabs>
        <w:tab w:val="center" w:pos="4680"/>
        <w:tab w:val="right" w:pos="9360"/>
      </w:tabs>
    </w:pPr>
  </w:style>
  <w:style w:type="character" w:customStyle="1" w:styleId="HeaderChar">
    <w:name w:val="Header Char"/>
    <w:basedOn w:val="DefaultParagraphFont"/>
    <w:link w:val="Header"/>
    <w:uiPriority w:val="99"/>
    <w:locked/>
    <w:rsid w:val="00CB3214"/>
    <w:rPr>
      <w:rFonts w:eastAsia="Times New Roman" w:cs="Times New Roman"/>
      <w:color w:val="000000"/>
      <w:sz w:val="24"/>
      <w:szCs w:val="24"/>
    </w:rPr>
  </w:style>
  <w:style w:type="paragraph" w:styleId="Footer">
    <w:name w:val="footer"/>
    <w:basedOn w:val="Normal"/>
    <w:link w:val="FooterChar"/>
    <w:uiPriority w:val="99"/>
    <w:locked/>
    <w:rsid w:val="00CB3214"/>
    <w:pPr>
      <w:tabs>
        <w:tab w:val="center" w:pos="4680"/>
        <w:tab w:val="right" w:pos="9360"/>
      </w:tabs>
    </w:pPr>
  </w:style>
  <w:style w:type="character" w:customStyle="1" w:styleId="FooterChar">
    <w:name w:val="Footer Char"/>
    <w:basedOn w:val="DefaultParagraphFont"/>
    <w:link w:val="Footer"/>
    <w:uiPriority w:val="99"/>
    <w:locked/>
    <w:rsid w:val="00CB3214"/>
    <w:rPr>
      <w:rFonts w:eastAsia="Times New Roman" w:cs="Times New Roman"/>
      <w:color w:val="000000"/>
      <w:sz w:val="24"/>
      <w:szCs w:val="24"/>
    </w:rPr>
  </w:style>
  <w:style w:type="table" w:styleId="TableGrid">
    <w:name w:val="Table Grid"/>
    <w:basedOn w:val="TableNormal"/>
    <w:uiPriority w:val="99"/>
    <w:locked/>
    <w:rsid w:val="006F3C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82F9B"/>
    <w:pPr>
      <w:ind w:left="720"/>
      <w:contextualSpacing/>
    </w:pPr>
  </w:style>
  <w:style w:type="paragraph" w:customStyle="1" w:styleId="Default">
    <w:name w:val="Default"/>
    <w:uiPriority w:val="99"/>
    <w:rsid w:val="00B2466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2751</Words>
  <Characters>15683</Characters>
  <Application>Microsoft Office Outlook</Application>
  <DocSecurity>0</DocSecurity>
  <Lines>0</Lines>
  <Paragraphs>0</Paragraphs>
  <ScaleCrop>false</ScaleCrop>
  <Company>Prijestonica Cetinje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66 stav 4 Zakona o uređenju prostora i izgradnji objekata („Sl</dc:title>
  <dc:subject/>
  <dc:creator>MarijaA</dc:creator>
  <cp:keywords/>
  <dc:description/>
  <cp:lastModifiedBy>Momo Martinovic</cp:lastModifiedBy>
  <cp:revision>2</cp:revision>
  <cp:lastPrinted>2014-03-17T07:30:00Z</cp:lastPrinted>
  <dcterms:created xsi:type="dcterms:W3CDTF">2014-04-08T11:40:00Z</dcterms:created>
  <dcterms:modified xsi:type="dcterms:W3CDTF">2014-04-08T11:40:00Z</dcterms:modified>
</cp:coreProperties>
</file>